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18" w:rsidRDefault="005C5218" w:rsidP="00B53833">
      <w:pPr>
        <w:shd w:val="clear" w:color="auto" w:fill="FFFFFF"/>
        <w:spacing w:after="120" w:line="259" w:lineRule="auto"/>
        <w:jc w:val="center"/>
        <w:rPr>
          <w:rFonts w:cs="Arial"/>
          <w:b/>
          <w:sz w:val="36"/>
          <w:szCs w:val="36"/>
        </w:rPr>
      </w:pPr>
      <w:r w:rsidRPr="00340290">
        <w:rPr>
          <w:rFonts w:cs="Arial"/>
          <w:b/>
          <w:sz w:val="36"/>
          <w:szCs w:val="36"/>
        </w:rPr>
        <w:t>TISKOVÁ ZPRÁVA</w:t>
      </w:r>
    </w:p>
    <w:p w:rsidR="00073EE4" w:rsidRPr="00073EE4" w:rsidRDefault="00073EE4" w:rsidP="00073EE4">
      <w:pPr>
        <w:jc w:val="center"/>
        <w:rPr>
          <w:b/>
          <w:sz w:val="24"/>
          <w:szCs w:val="24"/>
        </w:rPr>
      </w:pPr>
      <w:r w:rsidRPr="00073EE4">
        <w:rPr>
          <w:b/>
          <w:sz w:val="24"/>
          <w:szCs w:val="24"/>
        </w:rPr>
        <w:t>Řešení kůrovcové kalamity je dlouhodobý a složitý úkol, rezignovat však nemůžeme</w:t>
      </w:r>
    </w:p>
    <w:p w:rsidR="0031372A" w:rsidRPr="0031372A" w:rsidRDefault="00073EE4" w:rsidP="00E06990">
      <w:pPr>
        <w:jc w:val="both"/>
        <w:rPr>
          <w:b/>
        </w:rPr>
      </w:pPr>
      <w:r w:rsidRPr="0031372A">
        <w:rPr>
          <w:b/>
        </w:rPr>
        <w:t>Strnady – 1</w:t>
      </w:r>
      <w:r w:rsidR="0031372A" w:rsidRPr="0031372A">
        <w:rPr>
          <w:b/>
        </w:rPr>
        <w:t>6</w:t>
      </w:r>
      <w:r w:rsidRPr="0031372A">
        <w:rPr>
          <w:b/>
        </w:rPr>
        <w:t xml:space="preserve">. dubna 2019 – </w:t>
      </w:r>
      <w:r w:rsidR="0031372A" w:rsidRPr="0031372A">
        <w:rPr>
          <w:b/>
        </w:rPr>
        <w:t xml:space="preserve">Kůrovcová kalamita dosáhla v roce 2018 zcela extrémního rozsahu a rovněž prognóza pro rok 2019 je nepříznivá. Hlavní prioritou pro zpomalení šíření kůrovce musí být pečlivé vyhledávání, včasné zpracování a účinná asanace aktivních kůrovcových stromů s cílem co nejvíce oddálit rozpad smrkových porostů. Je třeba za každou cenu zastavit rozvoj a šíření podkorního hmyzu do dalších oblastí a vyšších poloh s často cennými původními populacemi smrku. Bez politické vůle, která umožní potřebné legislativní změny a vhodně upraví dotační politiku, bude nesmírně složité současnou situaci zvládnout. </w:t>
      </w:r>
    </w:p>
    <w:p w:rsidR="00073EE4" w:rsidRPr="00073EE4" w:rsidRDefault="00073EE4" w:rsidP="00E06990">
      <w:pPr>
        <w:jc w:val="both"/>
      </w:pPr>
      <w:r w:rsidRPr="00073EE4">
        <w:t xml:space="preserve">Tyto a další závěry přednesli přední odborníci na ochranu a ekologii lesa, rostlinolékařství a lesnictví na semináři s mezinárodní účastí na téma „Historie a současnost kůrovcových kalamit ve střední Evropě“. Seminář se konal 16. dubna v Průhonicích a pořádala jej Lesní ochranná služba (LOS) při Výzkumném ústavu lesního hospodářství a myslivosti, v. v. i. (VÚLHM). </w:t>
      </w:r>
    </w:p>
    <w:p w:rsidR="00073EE4" w:rsidRPr="00073EE4" w:rsidRDefault="00073EE4" w:rsidP="00E06990">
      <w:pPr>
        <w:jc w:val="both"/>
      </w:pPr>
      <w:r w:rsidRPr="00073EE4">
        <w:rPr>
          <w:i/>
        </w:rPr>
        <w:t>„V tuto chvíli nevíme, zda se nám podaří kůrovcovou kalamitu výrazněji zpomalit či v dohledné budoucnosti zastavit. Pouze koordinovaný a aktivní přístup nám však umožní obhájit pozici lesnictví jako hospodářského odvětví, které kromě přinášení prospěchu vlastníkům pečuje o krajinu a naplňuje ekologické funkce, jež mají nedocenitelný význam pro celou společnost,“</w:t>
      </w:r>
      <w:r w:rsidRPr="00073EE4">
        <w:t xml:space="preserve"> uvedl ředitel VÚLHM Vít Šrámek. </w:t>
      </w:r>
    </w:p>
    <w:p w:rsidR="00073EE4" w:rsidRPr="00073EE4" w:rsidRDefault="00073EE4" w:rsidP="00E06990">
      <w:pPr>
        <w:jc w:val="both"/>
      </w:pPr>
      <w:r w:rsidRPr="00073EE4">
        <w:t xml:space="preserve">Podle entomologa z LOS Petra Zahradníka i v optimálním případě bude překonání kůrovcové kalamity záležitostí několika let: </w:t>
      </w:r>
      <w:r w:rsidRPr="00073EE4">
        <w:rPr>
          <w:i/>
        </w:rPr>
        <w:t>„Je nutné si přitom uvědomit, že potlačení kůrovcové kalamity je pouze prvním krokem. Následovat musí obnova vzniklých holin, zajištění a následná výchova nových porostů, včetně ochrany proti zvěři, která zde nalezne velmi vhodné podmínky pro svou existenci. Zejména u drobných vlastníků budou při řešení důsledků kůrovcové kalamity významné ekonomické faktory, které mohou ohrozit nové založení porostů a péči o jejich další vývoj.“</w:t>
      </w:r>
    </w:p>
    <w:p w:rsidR="00073EE4" w:rsidRPr="00073EE4" w:rsidRDefault="00073EE4" w:rsidP="00E06990">
      <w:pPr>
        <w:jc w:val="both"/>
      </w:pPr>
      <w:r w:rsidRPr="00073EE4">
        <w:t>Lesní ochranná služba každý rok eviduje objem napadených stromů a těžby od majitelů lesa na přibližně 70 % celkové plochy lesních pozemků. Podle těchto dat dosáhl v roce 2018 celkový objem nahodilých těžeb 14,8 mil</w:t>
      </w:r>
      <w:r w:rsidR="0031372A">
        <w:t>.</w:t>
      </w:r>
      <w:r w:rsidRPr="00073EE4">
        <w:t xml:space="preserve"> m³ (vliv abiotických a biotických činitelů). V roce 2017 bylo z obdobné rozlohy hlášeno </w:t>
      </w:r>
      <w:r w:rsidR="0031372A" w:rsidRPr="00073EE4">
        <w:t>nahodilých těžeb</w:t>
      </w:r>
      <w:r w:rsidR="0031372A" w:rsidRPr="00073EE4">
        <w:t xml:space="preserve"> </w:t>
      </w:r>
      <w:r w:rsidRPr="00073EE4">
        <w:t>celkem 7,5 mil</w:t>
      </w:r>
      <w:r w:rsidR="0031372A">
        <w:t>.</w:t>
      </w:r>
      <w:r w:rsidRPr="00073EE4">
        <w:t xml:space="preserve"> m³. Nárůst je ve srovnání s rokem 2017 téměř dvojnásobný, jedná se tedy o dramatické zhoršení situace. </w:t>
      </w:r>
    </w:p>
    <w:p w:rsidR="00073EE4" w:rsidRPr="00073EE4" w:rsidRDefault="00073EE4" w:rsidP="00E06990">
      <w:pPr>
        <w:jc w:val="both"/>
      </w:pPr>
      <w:r w:rsidRPr="00073EE4">
        <w:t>Pokud se týká samotného kůrovcového dříví, za loňský rok bylo evidováno cca 8,3 mil</w:t>
      </w:r>
      <w:r w:rsidR="0031372A">
        <w:t>.</w:t>
      </w:r>
      <w:r w:rsidRPr="00073EE4">
        <w:t xml:space="preserve"> m³. Jedná se o více než dvojnásobný nárůst oproti roku 2017, kdy bylo evidováno cca 3,7 mil</w:t>
      </w:r>
      <w:r w:rsidR="0031372A">
        <w:t>.</w:t>
      </w:r>
      <w:r w:rsidRPr="00073EE4">
        <w:t xml:space="preserve"> m³ </w:t>
      </w:r>
      <w:r w:rsidR="0031372A">
        <w:t xml:space="preserve">vytěženého </w:t>
      </w:r>
      <w:r w:rsidRPr="00073EE4">
        <w:t xml:space="preserve">kůrovcového dříví (2016 cca 3 mil. m³, 2015 cca 1,5 mil. m³). Jde prakticky výlučně o dříví napadené lýkožroutem smrkovým, který je obvykle doprovázen lýkožroutem lesklým a zejména v oblasti severní a střední Moravy a Slezska, ale lokálně v současnosti často i jinde, lýkožroutem severským. </w:t>
      </w:r>
    </w:p>
    <w:p w:rsidR="00073EE4" w:rsidRPr="00073EE4" w:rsidRDefault="00073EE4" w:rsidP="00E06990">
      <w:pPr>
        <w:jc w:val="both"/>
      </w:pPr>
      <w:r w:rsidRPr="00073EE4">
        <w:rPr>
          <w:i/>
        </w:rPr>
        <w:t>„Pokud objem evidovaný v roce 2018 přepočteme na celkovou rozlohu lesů v Česku, dostaneme se na hodnotu cca 12 milionů m</w:t>
      </w:r>
      <w:r w:rsidRPr="00073EE4">
        <w:rPr>
          <w:i/>
          <w:vertAlign w:val="superscript"/>
        </w:rPr>
        <w:t>3</w:t>
      </w:r>
      <w:r w:rsidRPr="00073EE4">
        <w:rPr>
          <w:i/>
        </w:rPr>
        <w:t xml:space="preserve"> vytěženého kůrovcového dříví! Pro kalkulaci celkového napadení v roce 2018, je nutné dodat, že ke konci uplynulého roku bylo v lesních porostech podle odhadu dalších přibližně </w:t>
      </w:r>
      <w:r w:rsidR="0031372A">
        <w:rPr>
          <w:i/>
        </w:rPr>
        <w:t>šest</w:t>
      </w:r>
      <w:r w:rsidRPr="00073EE4">
        <w:rPr>
          <w:i/>
        </w:rPr>
        <w:t xml:space="preserve"> milionů m</w:t>
      </w:r>
      <w:r w:rsidR="0031372A">
        <w:rPr>
          <w:i/>
        </w:rPr>
        <w:t xml:space="preserve">etrů </w:t>
      </w:r>
      <w:r w:rsidR="0031372A">
        <w:rPr>
          <w:i/>
        </w:rPr>
        <w:lastRenderedPageBreak/>
        <w:t>krychlových</w:t>
      </w:r>
      <w:r w:rsidRPr="00073EE4">
        <w:rPr>
          <w:i/>
        </w:rPr>
        <w:t xml:space="preserve"> stojících, dosud nezpracovaných kůrovcových stromů a souší!“</w:t>
      </w:r>
      <w:r w:rsidRPr="00073EE4">
        <w:t xml:space="preserve"> upozorňuje vedoucí Lesní ochranné služby Miloš Knížek. </w:t>
      </w:r>
    </w:p>
    <w:p w:rsidR="00073EE4" w:rsidRPr="00073EE4" w:rsidRDefault="00073EE4" w:rsidP="00E06990">
      <w:pPr>
        <w:jc w:val="both"/>
      </w:pPr>
      <w:r w:rsidRPr="00073EE4">
        <w:t>V Česku byl rok 2018 mimořádně teplotně nadprůměrný a v historii meteorologického měření vůbec nejteplejší. Nadprůměrné teploty a nízké úhrny srážek vedly k výraznému suchu, jehož vliv na přírodní ekosystémy byl o to výraznější, že následoval po sérii teplých a suchých vegetačních sezón v letech 2015</w:t>
      </w:r>
      <w:r w:rsidR="0031372A">
        <w:t xml:space="preserve"> a </w:t>
      </w:r>
      <w:r w:rsidRPr="00073EE4">
        <w:t xml:space="preserve">2016. Velmi dobře patrné je to také z evidence výskytu lesních škodlivých činitelů. Vlivem sucha dochází k oslabení a snížení obranyschopnosti smrkových porostů. </w:t>
      </w:r>
    </w:p>
    <w:p w:rsidR="00073EE4" w:rsidRPr="00073EE4" w:rsidRDefault="00073EE4" w:rsidP="00E06990">
      <w:pPr>
        <w:jc w:val="both"/>
      </w:pPr>
      <w:r w:rsidRPr="00073EE4">
        <w:t>Současná kůrovcová kalamita započala v roce 2003. Jde o nejdelší kůrovcovou kalamitu v historii českých zemí. Celkem bylo dosud evidováno 35,4 mil</w:t>
      </w:r>
      <w:r w:rsidR="0031372A">
        <w:t>.</w:t>
      </w:r>
      <w:r w:rsidRPr="00073EE4">
        <w:t xml:space="preserve"> m³</w:t>
      </w:r>
      <w:r w:rsidR="0031372A">
        <w:t xml:space="preserve"> </w:t>
      </w:r>
      <w:r w:rsidR="00B6100A">
        <w:t xml:space="preserve">vytěženého </w:t>
      </w:r>
      <w:r w:rsidR="0031372A">
        <w:t>napadeného dříví</w:t>
      </w:r>
      <w:r w:rsidRPr="00073EE4">
        <w:t xml:space="preserve">, a to ještě kalamita neskončila, naopak se zhoršuje. </w:t>
      </w:r>
    </w:p>
    <w:p w:rsidR="00073EE4" w:rsidRPr="00073EE4" w:rsidRDefault="00073EE4" w:rsidP="00E06990">
      <w:pPr>
        <w:jc w:val="both"/>
      </w:pPr>
      <w:r w:rsidRPr="00073EE4">
        <w:t xml:space="preserve">Výskyt kůrovců na smrku v Česku prudce narostl v roce 2015 (na severovýchodě již o dva roky dříve), kdy lesní hospodářství nedokázalo prostřednictvím opatření v ochraně lesa adekvátně reagovat na následky velmi nepříznivého průběhu povětrnostních vlivů. Od té doby se situace trvale zhoršuje. Současně se celé odvětví lesního hospodářství potýká se špatnou socioekonomickou situací: kritický nedostatek pracovních sil pro vyhledávání, těžbu a zejména asanaci napadeného kůrovcového dříví, nedostatek techniky, cenový pád na trhu s dřevní hmotou, organizační problémy u státních lesů, vyplývající ze striktní aplikace modelu zadávání veřejných zakázek atd. </w:t>
      </w:r>
    </w:p>
    <w:p w:rsidR="00073EE4" w:rsidRPr="00073EE4" w:rsidRDefault="00073EE4" w:rsidP="00E06990">
      <w:pPr>
        <w:jc w:val="both"/>
      </w:pPr>
      <w:r w:rsidRPr="00073EE4">
        <w:t xml:space="preserve">Za současného zdravotního stavu smrku na území severní a střední Moravy a Slezska, častých povětrnostních extrémů, tlaku václavky a podkorního hmyzu, bude velice obtížné dopěstovat tamní smrkové porosty v polohách do asi 700 m n. m. do mýtního věku. </w:t>
      </w:r>
    </w:p>
    <w:p w:rsidR="00073EE4" w:rsidRPr="00073EE4" w:rsidRDefault="00073EE4" w:rsidP="00E06990">
      <w:pPr>
        <w:jc w:val="both"/>
      </w:pPr>
      <w:r w:rsidRPr="00B6100A">
        <w:rPr>
          <w:i/>
        </w:rPr>
        <w:t>„Předpoklad vývoje zdravotního stavu lesa, potažmo kůrovcové kalamity v roce 2019 je na základě výše uvedeného krajně nepříznivý. Pouze v případě žádoucího chladnějšího a deštivějšího charakteru počasí a uplatnění potřebných změn v přístupu k provádění opatření v ochraně lesa může dojít k částečné stabilizaci situace a snížení rozsahu napadení. Zatímco ve východní polovině Česka znamenal rok 2018 pravděpodobně období kulminace kůrovcové gradace (z důvodu výrazného úbytku pro lýkožrouta smrkového nejatraktivnějších porostů), na západě země potenciál rozvoje kůrovcové gradace a nárůstu napadení stále trvá a svého vrcholu zde pravděpodobně dosáhne teprve v následujícím období,“</w:t>
      </w:r>
      <w:r w:rsidRPr="00073EE4">
        <w:t xml:space="preserve"> zní prognóza odborníků z LOS na následující období. </w:t>
      </w:r>
    </w:p>
    <w:p w:rsidR="00073EE4" w:rsidRPr="00073EE4" w:rsidRDefault="00073EE4" w:rsidP="00E06990">
      <w:pPr>
        <w:jc w:val="both"/>
      </w:pPr>
      <w:r w:rsidRPr="00073EE4">
        <w:t>Zvládnutí kůrovcové kalamity je dlouhodobý úkol, jehož řešení nebude jednoduché. Bude znamenat enormní nasazení vlastníků lesa při vynaložení nemalých nákladů. Rezignovat však v žádném případě nemůžeme.</w:t>
      </w:r>
    </w:p>
    <w:p w:rsidR="00073EE4" w:rsidRPr="00073EE4" w:rsidRDefault="00073EE4" w:rsidP="00E06990">
      <w:pPr>
        <w:jc w:val="both"/>
      </w:pPr>
      <w:r w:rsidRPr="00073EE4">
        <w:t>Kontakt pro více informací:</w:t>
      </w:r>
    </w:p>
    <w:p w:rsidR="00073EE4" w:rsidRPr="0057264D" w:rsidRDefault="00073EE4" w:rsidP="00073EE4">
      <w:pPr>
        <w:spacing w:after="0"/>
        <w:rPr>
          <w:i/>
        </w:rPr>
      </w:pPr>
      <w:r w:rsidRPr="0057264D">
        <w:rPr>
          <w:i/>
        </w:rPr>
        <w:t>doc. Ing. Petr Zahradník, CSc., tel.: +420 602 298 802, e-mail: </w:t>
      </w:r>
      <w:hyperlink r:id="rId8" w:history="1">
        <w:r w:rsidRPr="0057264D">
          <w:rPr>
            <w:rStyle w:val="Hypertextovodkaz"/>
            <w:i/>
          </w:rPr>
          <w:t>zahradnik@vulhm.cz</w:t>
        </w:r>
      </w:hyperlink>
    </w:p>
    <w:p w:rsidR="00073EE4" w:rsidRPr="0057264D" w:rsidRDefault="00073EE4" w:rsidP="00073EE4">
      <w:pPr>
        <w:spacing w:after="0"/>
        <w:rPr>
          <w:i/>
        </w:rPr>
      </w:pPr>
      <w:r w:rsidRPr="0057264D">
        <w:rPr>
          <w:i/>
        </w:rPr>
        <w:t xml:space="preserve">Ing. Bc. Jan </w:t>
      </w:r>
      <w:proofErr w:type="spellStart"/>
      <w:r w:rsidRPr="0057264D">
        <w:rPr>
          <w:i/>
        </w:rPr>
        <w:t>Lubojacký</w:t>
      </w:r>
      <w:proofErr w:type="spellEnd"/>
      <w:r w:rsidRPr="0057264D">
        <w:rPr>
          <w:i/>
        </w:rPr>
        <w:t>, Ph.D., tel.: +420 602 277 596, e-mail: </w:t>
      </w:r>
      <w:hyperlink r:id="rId9" w:history="1">
        <w:r w:rsidRPr="0057264D">
          <w:rPr>
            <w:rStyle w:val="Hypertextovodkaz"/>
            <w:i/>
          </w:rPr>
          <w:t>lubojacky.j@seznam.cz</w:t>
        </w:r>
      </w:hyperlink>
    </w:p>
    <w:p w:rsidR="00073EE4" w:rsidRDefault="00073EE4" w:rsidP="00073EE4">
      <w:pPr>
        <w:rPr>
          <w:rFonts w:cstheme="minorHAnsi"/>
          <w:b/>
          <w:sz w:val="24"/>
          <w:szCs w:val="24"/>
        </w:rPr>
      </w:pPr>
      <w:r>
        <w:rPr>
          <w:rFonts w:cstheme="minorHAnsi"/>
          <w:b/>
          <w:sz w:val="24"/>
          <w:szCs w:val="24"/>
        </w:rPr>
        <w:br w:type="page"/>
      </w:r>
    </w:p>
    <w:p w:rsidR="00073EE4" w:rsidRPr="00C85257" w:rsidRDefault="00073EE4" w:rsidP="00E06990">
      <w:pPr>
        <w:jc w:val="both"/>
        <w:rPr>
          <w:rFonts w:cstheme="minorHAnsi"/>
          <w:b/>
        </w:rPr>
      </w:pPr>
      <w:r w:rsidRPr="00C85257">
        <w:rPr>
          <w:rFonts w:cstheme="minorHAnsi"/>
          <w:b/>
        </w:rPr>
        <w:lastRenderedPageBreak/>
        <w:t>Příloha:</w:t>
      </w:r>
    </w:p>
    <w:p w:rsidR="00E06990" w:rsidRDefault="00073EE4" w:rsidP="00E06990">
      <w:pPr>
        <w:jc w:val="both"/>
      </w:pPr>
      <w:r w:rsidRPr="00073EE4">
        <w:rPr>
          <w:b/>
        </w:rPr>
        <w:t>Oblasti napadení v roce 2018:</w:t>
      </w:r>
      <w:r w:rsidRPr="00073EE4">
        <w:t xml:space="preserve"> </w:t>
      </w:r>
    </w:p>
    <w:p w:rsidR="00073EE4" w:rsidRPr="00073EE4" w:rsidRDefault="00073EE4" w:rsidP="00E06990">
      <w:pPr>
        <w:jc w:val="both"/>
      </w:pPr>
      <w:r w:rsidRPr="00073EE4">
        <w:t xml:space="preserve">Kůrovcovou kalamitou je aktuálně nejvážněji postiženo širší území Bruntálska a Olomoucka, ale katastrofální situace se týká (s výjimkou nejvyšších partií Jeseníků a Beskyd – polohy cca nad 1000 m n. m.) celého regionu od Jesenicka a Šumperska po Frýdeckomístecko a Vsetínsko, tj. především území přírodních lesních oblastí Předhoří Hrubého Jeseníku, Nízký Jeseník, Slezská nížina, </w:t>
      </w:r>
      <w:proofErr w:type="spellStart"/>
      <w:r w:rsidRPr="00073EE4">
        <w:t>Podbeskydská</w:t>
      </w:r>
      <w:proofErr w:type="spellEnd"/>
      <w:r w:rsidRPr="00073EE4">
        <w:t xml:space="preserve"> pahorkatina, Hostýnsko-vsetínské vrchy a Javorníky. V</w:t>
      </w:r>
      <w:r w:rsidR="00B6100A">
        <w:t xml:space="preserve"> </w:t>
      </w:r>
      <w:r w:rsidRPr="00073EE4">
        <w:t xml:space="preserve">Čechách je nejvíce zasažen jihovýchod, jih a jihozápad území, tj. hlavně širší oblast Českomoravské vrchoviny, avšak situace se rychle zhoršuje i ve střední a severovýchodní části Čech. Z regionálního hlediska jsou katastrofálně postiženy kraje Moravskoslezský (1,65 mil. m³), Vysočina (1,31 mil. m³), Olomoucký (1,19 mil. m³) a Jihočeský (1,14 mil. m³). Kalamitou výrazně zasaženy (evidované kůrovcové těžby nad 0,5 mil. m3) jsou také kraje Jihomoravský (0,77 mil. m³), Zlínský (0,64 mil. m³) a Plzeňský (0,57 mil. m³). </w:t>
      </w:r>
    </w:p>
    <w:p w:rsidR="00E06990" w:rsidRDefault="00073EE4" w:rsidP="00E06990">
      <w:pPr>
        <w:jc w:val="both"/>
      </w:pPr>
      <w:r w:rsidRPr="00073EE4">
        <w:rPr>
          <w:b/>
        </w:rPr>
        <w:t>Ošetření v roce 2018:</w:t>
      </w:r>
      <w:r w:rsidRPr="00073EE4">
        <w:t xml:space="preserve"> </w:t>
      </w:r>
    </w:p>
    <w:p w:rsidR="00E300C2" w:rsidRDefault="00073EE4" w:rsidP="00E06990">
      <w:pPr>
        <w:jc w:val="both"/>
        <w:rPr>
          <w:i/>
          <w:sz w:val="20"/>
          <w:szCs w:val="20"/>
        </w:rPr>
      </w:pPr>
      <w:r w:rsidRPr="00073EE4">
        <w:t>Podle evidence bylo provedeno následující množství obranných a ochranných opatření proti podkornímu hmyzu na smrku: položeno přibližně 282 tis</w:t>
      </w:r>
      <w:r w:rsidR="00B6100A">
        <w:t>.</w:t>
      </w:r>
      <w:r w:rsidRPr="00073EE4">
        <w:t xml:space="preserve"> m³ lapáků (2017 cca 461 tis. m³), instalováno cca 72 tis. feromonových lapačů (2017 cca 35 tis. ks), z napadené hmoty odkorněno cca 106 tis. m³ (2017 cca 27 tis. m³) a chemicky asanováno cca 1265 tis. m³ (2017 cca 490 tis. m³). Před odvozem tak bylo v lesních porostech nebo na skládkách přímo asanováno pouhých 17 % vytěžené kůrovcové hmoty!</w:t>
      </w:r>
      <w:r w:rsidR="00E300C2" w:rsidRPr="00E300C2">
        <w:rPr>
          <w:i/>
          <w:sz w:val="20"/>
          <w:szCs w:val="20"/>
        </w:rPr>
        <w:t xml:space="preserve"> </w:t>
      </w:r>
    </w:p>
    <w:p w:rsidR="00E300C2" w:rsidRDefault="00E300C2" w:rsidP="00E300C2">
      <w:pPr>
        <w:rPr>
          <w:i/>
          <w:sz w:val="20"/>
          <w:szCs w:val="20"/>
        </w:rPr>
      </w:pPr>
      <w:r w:rsidRPr="00E06990">
        <w:rPr>
          <w:b/>
          <w:i/>
          <w:sz w:val="20"/>
          <w:szCs w:val="20"/>
        </w:rPr>
        <w:t>Tabulka 1:</w:t>
      </w:r>
      <w:r>
        <w:rPr>
          <w:i/>
          <w:sz w:val="20"/>
          <w:szCs w:val="20"/>
        </w:rPr>
        <w:t xml:space="preserve"> </w:t>
      </w:r>
      <w:r w:rsidRPr="00C85257">
        <w:rPr>
          <w:i/>
          <w:sz w:val="20"/>
          <w:szCs w:val="20"/>
        </w:rPr>
        <w:t>Objemy evidovaného kůrovcového dříví v rámci j</w:t>
      </w:r>
      <w:r w:rsidR="0095521C">
        <w:rPr>
          <w:i/>
          <w:sz w:val="20"/>
          <w:szCs w:val="20"/>
        </w:rPr>
        <w:t>ednotlivých kůrovcových kalamit</w:t>
      </w:r>
      <w:r>
        <w:rPr>
          <w:i/>
          <w:sz w:val="20"/>
          <w:szCs w:val="20"/>
        </w:rPr>
        <w:t>, v mil. m</w:t>
      </w:r>
      <w:r w:rsidRPr="00E300C2">
        <w:rPr>
          <w:i/>
          <w:sz w:val="20"/>
          <w:szCs w:val="20"/>
          <w:vertAlign w:val="superscript"/>
        </w:rPr>
        <w:t>3</w:t>
      </w:r>
    </w:p>
    <w:tbl>
      <w:tblPr>
        <w:tblStyle w:val="Mkatabulky"/>
        <w:tblW w:w="9776" w:type="dxa"/>
        <w:tblLook w:val="04A0" w:firstRow="1" w:lastRow="0" w:firstColumn="1" w:lastColumn="0" w:noHBand="0" w:noVBand="1"/>
      </w:tblPr>
      <w:tblGrid>
        <w:gridCol w:w="843"/>
        <w:gridCol w:w="1104"/>
        <w:gridCol w:w="1103"/>
        <w:gridCol w:w="1103"/>
        <w:gridCol w:w="1103"/>
        <w:gridCol w:w="1103"/>
        <w:gridCol w:w="1103"/>
        <w:gridCol w:w="1197"/>
        <w:gridCol w:w="1117"/>
      </w:tblGrid>
      <w:tr w:rsidR="00894572" w:rsidRPr="00D943DB" w:rsidTr="00894572">
        <w:trPr>
          <w:trHeight w:val="288"/>
        </w:trPr>
        <w:tc>
          <w:tcPr>
            <w:tcW w:w="843" w:type="dxa"/>
            <w:noWrap/>
            <w:hideMark/>
          </w:tcPr>
          <w:p w:rsidR="00894572" w:rsidRPr="00D943DB" w:rsidRDefault="00894572" w:rsidP="00073EE4">
            <w:pPr>
              <w:spacing w:after="0" w:line="240" w:lineRule="auto"/>
            </w:pPr>
            <w:r w:rsidRPr="00D943DB">
              <w:t> </w:t>
            </w:r>
          </w:p>
        </w:tc>
        <w:tc>
          <w:tcPr>
            <w:tcW w:w="1104" w:type="dxa"/>
            <w:noWrap/>
            <w:vAlign w:val="center"/>
            <w:hideMark/>
          </w:tcPr>
          <w:p w:rsidR="00894572" w:rsidRPr="00C85257" w:rsidRDefault="00894572" w:rsidP="00073EE4">
            <w:pPr>
              <w:spacing w:after="0" w:line="240" w:lineRule="auto"/>
              <w:jc w:val="center"/>
              <w:rPr>
                <w:b/>
                <w:bCs/>
                <w:sz w:val="20"/>
                <w:szCs w:val="20"/>
              </w:rPr>
            </w:pPr>
            <w:r w:rsidRPr="00C85257">
              <w:rPr>
                <w:b/>
                <w:bCs/>
                <w:sz w:val="20"/>
                <w:szCs w:val="20"/>
              </w:rPr>
              <w:t>1868-1878</w:t>
            </w:r>
          </w:p>
        </w:tc>
        <w:tc>
          <w:tcPr>
            <w:tcW w:w="1103" w:type="dxa"/>
            <w:noWrap/>
            <w:vAlign w:val="center"/>
            <w:hideMark/>
          </w:tcPr>
          <w:p w:rsidR="00894572" w:rsidRPr="00C85257" w:rsidRDefault="00894572" w:rsidP="00073EE4">
            <w:pPr>
              <w:spacing w:after="0" w:line="240" w:lineRule="auto"/>
              <w:jc w:val="center"/>
              <w:rPr>
                <w:b/>
                <w:bCs/>
                <w:sz w:val="20"/>
                <w:szCs w:val="20"/>
              </w:rPr>
            </w:pPr>
            <w:r w:rsidRPr="00C85257">
              <w:rPr>
                <w:b/>
                <w:bCs/>
                <w:sz w:val="20"/>
                <w:szCs w:val="20"/>
              </w:rPr>
              <w:t>1944-195</w:t>
            </w:r>
            <w:r>
              <w:rPr>
                <w:b/>
                <w:bCs/>
                <w:sz w:val="20"/>
                <w:szCs w:val="20"/>
              </w:rPr>
              <w:t>4</w:t>
            </w:r>
          </w:p>
        </w:tc>
        <w:tc>
          <w:tcPr>
            <w:tcW w:w="1103" w:type="dxa"/>
            <w:noWrap/>
            <w:vAlign w:val="center"/>
            <w:hideMark/>
          </w:tcPr>
          <w:p w:rsidR="00894572" w:rsidRPr="00C85257" w:rsidRDefault="00894572" w:rsidP="00073EE4">
            <w:pPr>
              <w:spacing w:after="0" w:line="240" w:lineRule="auto"/>
              <w:jc w:val="center"/>
              <w:rPr>
                <w:b/>
                <w:bCs/>
                <w:sz w:val="20"/>
                <w:szCs w:val="20"/>
              </w:rPr>
            </w:pPr>
            <w:r w:rsidRPr="00C85257">
              <w:rPr>
                <w:b/>
                <w:bCs/>
                <w:sz w:val="20"/>
                <w:szCs w:val="20"/>
              </w:rPr>
              <w:t>1983-1988</w:t>
            </w:r>
          </w:p>
        </w:tc>
        <w:tc>
          <w:tcPr>
            <w:tcW w:w="1103" w:type="dxa"/>
            <w:noWrap/>
            <w:vAlign w:val="center"/>
            <w:hideMark/>
          </w:tcPr>
          <w:p w:rsidR="00894572" w:rsidRPr="00C85257" w:rsidRDefault="00894572" w:rsidP="00073EE4">
            <w:pPr>
              <w:spacing w:after="0" w:line="240" w:lineRule="auto"/>
              <w:jc w:val="center"/>
              <w:rPr>
                <w:b/>
                <w:bCs/>
                <w:sz w:val="20"/>
                <w:szCs w:val="20"/>
              </w:rPr>
            </w:pPr>
            <w:r w:rsidRPr="00C85257">
              <w:rPr>
                <w:b/>
                <w:bCs/>
                <w:sz w:val="20"/>
                <w:szCs w:val="20"/>
              </w:rPr>
              <w:t>1993-1996</w:t>
            </w:r>
          </w:p>
        </w:tc>
        <w:tc>
          <w:tcPr>
            <w:tcW w:w="1103" w:type="dxa"/>
            <w:noWrap/>
            <w:vAlign w:val="center"/>
            <w:hideMark/>
          </w:tcPr>
          <w:p w:rsidR="00894572" w:rsidRPr="00C85257" w:rsidRDefault="00894572" w:rsidP="00073EE4">
            <w:pPr>
              <w:spacing w:after="0" w:line="240" w:lineRule="auto"/>
              <w:jc w:val="center"/>
              <w:rPr>
                <w:b/>
                <w:bCs/>
                <w:sz w:val="20"/>
                <w:szCs w:val="20"/>
              </w:rPr>
            </w:pPr>
            <w:r w:rsidRPr="00C85257">
              <w:rPr>
                <w:b/>
                <w:bCs/>
                <w:sz w:val="20"/>
                <w:szCs w:val="20"/>
              </w:rPr>
              <w:t>2003-2004</w:t>
            </w:r>
          </w:p>
        </w:tc>
        <w:tc>
          <w:tcPr>
            <w:tcW w:w="1103" w:type="dxa"/>
            <w:noWrap/>
            <w:vAlign w:val="center"/>
            <w:hideMark/>
          </w:tcPr>
          <w:p w:rsidR="00894572" w:rsidRPr="00C85257" w:rsidRDefault="00894572" w:rsidP="00073EE4">
            <w:pPr>
              <w:spacing w:after="0" w:line="240" w:lineRule="auto"/>
              <w:jc w:val="center"/>
              <w:rPr>
                <w:b/>
                <w:bCs/>
                <w:sz w:val="20"/>
                <w:szCs w:val="20"/>
              </w:rPr>
            </w:pPr>
            <w:r w:rsidRPr="00C85257">
              <w:rPr>
                <w:b/>
                <w:bCs/>
                <w:sz w:val="20"/>
                <w:szCs w:val="20"/>
              </w:rPr>
              <w:t>2007-2010</w:t>
            </w:r>
          </w:p>
        </w:tc>
        <w:tc>
          <w:tcPr>
            <w:tcW w:w="1197" w:type="dxa"/>
            <w:noWrap/>
            <w:vAlign w:val="center"/>
            <w:hideMark/>
          </w:tcPr>
          <w:p w:rsidR="00894572" w:rsidRPr="00C85257" w:rsidRDefault="00894572" w:rsidP="00073EE4">
            <w:pPr>
              <w:spacing w:after="0" w:line="240" w:lineRule="auto"/>
              <w:jc w:val="center"/>
              <w:rPr>
                <w:b/>
                <w:bCs/>
                <w:sz w:val="20"/>
                <w:szCs w:val="20"/>
              </w:rPr>
            </w:pPr>
            <w:r w:rsidRPr="00C85257">
              <w:rPr>
                <w:b/>
                <w:bCs/>
                <w:sz w:val="20"/>
                <w:szCs w:val="20"/>
              </w:rPr>
              <w:t>2015-2018</w:t>
            </w:r>
          </w:p>
        </w:tc>
        <w:tc>
          <w:tcPr>
            <w:tcW w:w="1117" w:type="dxa"/>
            <w:vMerge w:val="restart"/>
            <w:vAlign w:val="center"/>
          </w:tcPr>
          <w:p w:rsidR="00894572" w:rsidRPr="00C85257" w:rsidRDefault="00E300C2" w:rsidP="00E300C2">
            <w:pPr>
              <w:spacing w:after="0" w:line="240" w:lineRule="auto"/>
              <w:jc w:val="center"/>
              <w:rPr>
                <w:b/>
                <w:bCs/>
                <w:sz w:val="20"/>
                <w:szCs w:val="20"/>
              </w:rPr>
            </w:pPr>
            <w:proofErr w:type="gramStart"/>
            <w:r>
              <w:rPr>
                <w:b/>
                <w:bCs/>
                <w:sz w:val="20"/>
                <w:szCs w:val="20"/>
              </w:rPr>
              <w:t>1</w:t>
            </w:r>
            <w:r w:rsidR="00894572">
              <w:rPr>
                <w:b/>
                <w:bCs/>
                <w:sz w:val="20"/>
                <w:szCs w:val="20"/>
              </w:rPr>
              <w:t>.-</w:t>
            </w:r>
            <w:r>
              <w:rPr>
                <w:b/>
                <w:bCs/>
                <w:sz w:val="20"/>
                <w:szCs w:val="20"/>
              </w:rPr>
              <w:t>3.</w:t>
            </w:r>
            <w:r w:rsidR="00894572">
              <w:rPr>
                <w:b/>
                <w:bCs/>
                <w:sz w:val="20"/>
                <w:szCs w:val="20"/>
              </w:rPr>
              <w:t xml:space="preserve"> etapa</w:t>
            </w:r>
            <w:proofErr w:type="gramEnd"/>
            <w:r w:rsidR="00894572">
              <w:rPr>
                <w:b/>
                <w:bCs/>
                <w:sz w:val="20"/>
                <w:szCs w:val="20"/>
              </w:rPr>
              <w:t xml:space="preserve"> celkem</w:t>
            </w:r>
          </w:p>
        </w:tc>
      </w:tr>
      <w:tr w:rsidR="00894572" w:rsidRPr="00D943DB" w:rsidTr="00894572">
        <w:trPr>
          <w:trHeight w:val="288"/>
        </w:trPr>
        <w:tc>
          <w:tcPr>
            <w:tcW w:w="843" w:type="dxa"/>
            <w:noWrap/>
            <w:hideMark/>
          </w:tcPr>
          <w:p w:rsidR="00894572" w:rsidRPr="00D943DB" w:rsidRDefault="00894572" w:rsidP="00073EE4">
            <w:pPr>
              <w:spacing w:after="0" w:line="240" w:lineRule="auto"/>
            </w:pPr>
            <w:r w:rsidRPr="00D943DB">
              <w:t> </w:t>
            </w:r>
          </w:p>
        </w:tc>
        <w:tc>
          <w:tcPr>
            <w:tcW w:w="1104" w:type="dxa"/>
            <w:noWrap/>
            <w:vAlign w:val="center"/>
            <w:hideMark/>
          </w:tcPr>
          <w:p w:rsidR="00894572" w:rsidRPr="00C85257" w:rsidRDefault="00894572" w:rsidP="00073EE4">
            <w:pPr>
              <w:spacing w:after="0" w:line="240" w:lineRule="auto"/>
              <w:jc w:val="center"/>
              <w:rPr>
                <w:b/>
                <w:bCs/>
                <w:sz w:val="20"/>
                <w:szCs w:val="20"/>
              </w:rPr>
            </w:pPr>
          </w:p>
        </w:tc>
        <w:tc>
          <w:tcPr>
            <w:tcW w:w="1103" w:type="dxa"/>
            <w:noWrap/>
            <w:vAlign w:val="center"/>
            <w:hideMark/>
          </w:tcPr>
          <w:p w:rsidR="00894572" w:rsidRPr="00C85257" w:rsidRDefault="00894572" w:rsidP="00073EE4">
            <w:pPr>
              <w:spacing w:after="0" w:line="240" w:lineRule="auto"/>
              <w:jc w:val="center"/>
              <w:rPr>
                <w:b/>
                <w:bCs/>
                <w:sz w:val="20"/>
                <w:szCs w:val="20"/>
              </w:rPr>
            </w:pPr>
          </w:p>
        </w:tc>
        <w:tc>
          <w:tcPr>
            <w:tcW w:w="1103" w:type="dxa"/>
            <w:noWrap/>
            <w:vAlign w:val="center"/>
            <w:hideMark/>
          </w:tcPr>
          <w:p w:rsidR="00894572" w:rsidRPr="00C85257" w:rsidRDefault="00894572" w:rsidP="00073EE4">
            <w:pPr>
              <w:spacing w:after="0" w:line="240" w:lineRule="auto"/>
              <w:jc w:val="center"/>
              <w:rPr>
                <w:sz w:val="20"/>
                <w:szCs w:val="20"/>
              </w:rPr>
            </w:pPr>
          </w:p>
        </w:tc>
        <w:tc>
          <w:tcPr>
            <w:tcW w:w="1103" w:type="dxa"/>
            <w:noWrap/>
            <w:vAlign w:val="center"/>
            <w:hideMark/>
          </w:tcPr>
          <w:p w:rsidR="00894572" w:rsidRPr="00C85257" w:rsidRDefault="00894572" w:rsidP="00073EE4">
            <w:pPr>
              <w:spacing w:after="0" w:line="240" w:lineRule="auto"/>
              <w:jc w:val="center"/>
              <w:rPr>
                <w:sz w:val="20"/>
                <w:szCs w:val="20"/>
              </w:rPr>
            </w:pPr>
          </w:p>
        </w:tc>
        <w:tc>
          <w:tcPr>
            <w:tcW w:w="1103" w:type="dxa"/>
            <w:noWrap/>
            <w:vAlign w:val="center"/>
            <w:hideMark/>
          </w:tcPr>
          <w:p w:rsidR="00894572" w:rsidRPr="00C85257" w:rsidRDefault="00E300C2" w:rsidP="00073EE4">
            <w:pPr>
              <w:spacing w:after="0" w:line="240" w:lineRule="auto"/>
              <w:jc w:val="center"/>
              <w:rPr>
                <w:b/>
                <w:bCs/>
                <w:sz w:val="20"/>
                <w:szCs w:val="20"/>
              </w:rPr>
            </w:pPr>
            <w:r>
              <w:rPr>
                <w:b/>
                <w:bCs/>
                <w:sz w:val="20"/>
                <w:szCs w:val="20"/>
              </w:rPr>
              <w:t>1</w:t>
            </w:r>
            <w:r w:rsidR="00894572" w:rsidRPr="00C85257">
              <w:rPr>
                <w:b/>
                <w:bCs/>
                <w:sz w:val="20"/>
                <w:szCs w:val="20"/>
              </w:rPr>
              <w:t>. etapa</w:t>
            </w:r>
          </w:p>
        </w:tc>
        <w:tc>
          <w:tcPr>
            <w:tcW w:w="1103" w:type="dxa"/>
            <w:noWrap/>
            <w:vAlign w:val="center"/>
            <w:hideMark/>
          </w:tcPr>
          <w:p w:rsidR="00894572" w:rsidRPr="00C85257" w:rsidRDefault="00E300C2" w:rsidP="00E300C2">
            <w:pPr>
              <w:spacing w:after="0" w:line="240" w:lineRule="auto"/>
              <w:jc w:val="center"/>
              <w:rPr>
                <w:b/>
                <w:bCs/>
                <w:sz w:val="20"/>
                <w:szCs w:val="20"/>
              </w:rPr>
            </w:pPr>
            <w:r>
              <w:rPr>
                <w:b/>
                <w:bCs/>
                <w:sz w:val="20"/>
                <w:szCs w:val="20"/>
              </w:rPr>
              <w:t>2</w:t>
            </w:r>
            <w:r w:rsidR="00894572" w:rsidRPr="00C85257">
              <w:rPr>
                <w:b/>
                <w:bCs/>
                <w:sz w:val="20"/>
                <w:szCs w:val="20"/>
              </w:rPr>
              <w:t>. etapa</w:t>
            </w:r>
          </w:p>
        </w:tc>
        <w:tc>
          <w:tcPr>
            <w:tcW w:w="1197" w:type="dxa"/>
            <w:noWrap/>
            <w:vAlign w:val="center"/>
            <w:hideMark/>
          </w:tcPr>
          <w:p w:rsidR="00894572" w:rsidRPr="00C85257" w:rsidRDefault="00E300C2" w:rsidP="00073EE4">
            <w:pPr>
              <w:spacing w:after="0" w:line="240" w:lineRule="auto"/>
              <w:jc w:val="center"/>
              <w:rPr>
                <w:b/>
                <w:bCs/>
                <w:sz w:val="20"/>
                <w:szCs w:val="20"/>
              </w:rPr>
            </w:pPr>
            <w:r>
              <w:rPr>
                <w:b/>
                <w:bCs/>
                <w:sz w:val="20"/>
                <w:szCs w:val="20"/>
              </w:rPr>
              <w:t>3</w:t>
            </w:r>
            <w:r w:rsidR="00894572" w:rsidRPr="00C85257">
              <w:rPr>
                <w:b/>
                <w:bCs/>
                <w:sz w:val="20"/>
                <w:szCs w:val="20"/>
              </w:rPr>
              <w:t>. etapa</w:t>
            </w:r>
          </w:p>
        </w:tc>
        <w:tc>
          <w:tcPr>
            <w:tcW w:w="1117" w:type="dxa"/>
            <w:vMerge/>
            <w:vAlign w:val="center"/>
          </w:tcPr>
          <w:p w:rsidR="00894572" w:rsidRPr="00C85257" w:rsidRDefault="00894572" w:rsidP="00894572">
            <w:pPr>
              <w:spacing w:after="0" w:line="240" w:lineRule="auto"/>
              <w:jc w:val="center"/>
              <w:rPr>
                <w:b/>
                <w:bCs/>
                <w:sz w:val="20"/>
                <w:szCs w:val="20"/>
              </w:rPr>
            </w:pPr>
          </w:p>
        </w:tc>
      </w:tr>
      <w:tr w:rsidR="00894572" w:rsidRPr="00D943DB" w:rsidTr="00F07310">
        <w:trPr>
          <w:trHeight w:val="356"/>
        </w:trPr>
        <w:tc>
          <w:tcPr>
            <w:tcW w:w="843" w:type="dxa"/>
            <w:noWrap/>
            <w:hideMark/>
          </w:tcPr>
          <w:p w:rsidR="00894572" w:rsidRPr="00C85257" w:rsidRDefault="00894572" w:rsidP="00073EE4">
            <w:pPr>
              <w:spacing w:after="0" w:line="240" w:lineRule="auto"/>
              <w:rPr>
                <w:b/>
                <w:bCs/>
                <w:sz w:val="20"/>
                <w:szCs w:val="20"/>
              </w:rPr>
            </w:pPr>
            <w:r w:rsidRPr="00C85257">
              <w:rPr>
                <w:b/>
                <w:bCs/>
                <w:sz w:val="20"/>
                <w:szCs w:val="20"/>
              </w:rPr>
              <w:t>celkový objem</w:t>
            </w:r>
          </w:p>
        </w:tc>
        <w:tc>
          <w:tcPr>
            <w:tcW w:w="1104" w:type="dxa"/>
            <w:noWrap/>
            <w:vAlign w:val="center"/>
            <w:hideMark/>
          </w:tcPr>
          <w:p w:rsidR="00894572" w:rsidRPr="00C85257" w:rsidRDefault="00894572" w:rsidP="00073EE4">
            <w:pPr>
              <w:spacing w:after="0" w:line="240" w:lineRule="auto"/>
              <w:jc w:val="center"/>
              <w:rPr>
                <w:sz w:val="20"/>
                <w:szCs w:val="20"/>
              </w:rPr>
            </w:pPr>
            <w:r>
              <w:rPr>
                <w:sz w:val="20"/>
                <w:szCs w:val="20"/>
              </w:rPr>
              <w:t>7</w:t>
            </w:r>
          </w:p>
        </w:tc>
        <w:tc>
          <w:tcPr>
            <w:tcW w:w="1103" w:type="dxa"/>
            <w:noWrap/>
            <w:vAlign w:val="center"/>
            <w:hideMark/>
          </w:tcPr>
          <w:p w:rsidR="00894572" w:rsidRPr="00C85257" w:rsidRDefault="00894572" w:rsidP="00073EE4">
            <w:pPr>
              <w:spacing w:after="0" w:line="240" w:lineRule="auto"/>
              <w:jc w:val="center"/>
              <w:rPr>
                <w:sz w:val="20"/>
                <w:szCs w:val="20"/>
              </w:rPr>
            </w:pPr>
            <w:r w:rsidRPr="00C85257">
              <w:rPr>
                <w:sz w:val="20"/>
                <w:szCs w:val="20"/>
              </w:rPr>
              <w:t>2,3</w:t>
            </w:r>
          </w:p>
        </w:tc>
        <w:tc>
          <w:tcPr>
            <w:tcW w:w="1103" w:type="dxa"/>
            <w:noWrap/>
            <w:vAlign w:val="center"/>
            <w:hideMark/>
          </w:tcPr>
          <w:p w:rsidR="00894572" w:rsidRPr="00C85257" w:rsidRDefault="00894572" w:rsidP="00894572">
            <w:pPr>
              <w:spacing w:after="0" w:line="240" w:lineRule="auto"/>
              <w:jc w:val="center"/>
              <w:rPr>
                <w:sz w:val="20"/>
                <w:szCs w:val="20"/>
              </w:rPr>
            </w:pPr>
            <w:r w:rsidRPr="00C85257">
              <w:rPr>
                <w:sz w:val="20"/>
                <w:szCs w:val="20"/>
              </w:rPr>
              <w:t>6</w:t>
            </w:r>
            <w:r>
              <w:rPr>
                <w:sz w:val="20"/>
                <w:szCs w:val="20"/>
              </w:rPr>
              <w:t>,65</w:t>
            </w:r>
          </w:p>
        </w:tc>
        <w:tc>
          <w:tcPr>
            <w:tcW w:w="1103" w:type="dxa"/>
            <w:noWrap/>
            <w:vAlign w:val="center"/>
            <w:hideMark/>
          </w:tcPr>
          <w:p w:rsidR="00894572" w:rsidRPr="00C85257" w:rsidRDefault="00894572" w:rsidP="00073EE4">
            <w:pPr>
              <w:spacing w:after="0" w:line="240" w:lineRule="auto"/>
              <w:jc w:val="center"/>
              <w:rPr>
                <w:sz w:val="20"/>
                <w:szCs w:val="20"/>
              </w:rPr>
            </w:pPr>
            <w:r w:rsidRPr="00C85257">
              <w:rPr>
                <w:sz w:val="20"/>
                <w:szCs w:val="20"/>
              </w:rPr>
              <w:t>6,75</w:t>
            </w:r>
          </w:p>
        </w:tc>
        <w:tc>
          <w:tcPr>
            <w:tcW w:w="1103" w:type="dxa"/>
            <w:noWrap/>
            <w:vAlign w:val="center"/>
            <w:hideMark/>
          </w:tcPr>
          <w:p w:rsidR="00894572" w:rsidRPr="00C85257" w:rsidRDefault="00894572" w:rsidP="00073EE4">
            <w:pPr>
              <w:spacing w:after="0" w:line="240" w:lineRule="auto"/>
              <w:jc w:val="center"/>
              <w:rPr>
                <w:sz w:val="20"/>
                <w:szCs w:val="20"/>
              </w:rPr>
            </w:pPr>
            <w:r>
              <w:rPr>
                <w:sz w:val="20"/>
                <w:szCs w:val="20"/>
              </w:rPr>
              <w:t>1,9</w:t>
            </w:r>
          </w:p>
        </w:tc>
        <w:tc>
          <w:tcPr>
            <w:tcW w:w="1103" w:type="dxa"/>
            <w:noWrap/>
            <w:vAlign w:val="center"/>
            <w:hideMark/>
          </w:tcPr>
          <w:p w:rsidR="00894572" w:rsidRPr="00C85257" w:rsidRDefault="00894572" w:rsidP="00894572">
            <w:pPr>
              <w:spacing w:after="0" w:line="240" w:lineRule="auto"/>
              <w:jc w:val="center"/>
              <w:rPr>
                <w:sz w:val="20"/>
                <w:szCs w:val="20"/>
              </w:rPr>
            </w:pPr>
            <w:r w:rsidRPr="00C85257">
              <w:rPr>
                <w:sz w:val="20"/>
                <w:szCs w:val="20"/>
              </w:rPr>
              <w:t>6,</w:t>
            </w:r>
            <w:r>
              <w:rPr>
                <w:sz w:val="20"/>
                <w:szCs w:val="20"/>
              </w:rPr>
              <w:t>5</w:t>
            </w:r>
          </w:p>
        </w:tc>
        <w:tc>
          <w:tcPr>
            <w:tcW w:w="1197" w:type="dxa"/>
            <w:noWrap/>
            <w:vAlign w:val="center"/>
            <w:hideMark/>
          </w:tcPr>
          <w:p w:rsidR="00894572" w:rsidRPr="00C85257" w:rsidRDefault="00894572" w:rsidP="00894572">
            <w:pPr>
              <w:spacing w:after="0" w:line="240" w:lineRule="auto"/>
              <w:jc w:val="center"/>
              <w:rPr>
                <w:sz w:val="20"/>
                <w:szCs w:val="20"/>
              </w:rPr>
            </w:pPr>
            <w:r>
              <w:rPr>
                <w:sz w:val="20"/>
                <w:szCs w:val="20"/>
              </w:rPr>
              <w:t>22</w:t>
            </w:r>
            <w:r w:rsidRPr="00C85257">
              <w:rPr>
                <w:sz w:val="20"/>
                <w:szCs w:val="20"/>
              </w:rPr>
              <w:t>,</w:t>
            </w:r>
            <w:r>
              <w:rPr>
                <w:sz w:val="20"/>
                <w:szCs w:val="20"/>
              </w:rPr>
              <w:t>5</w:t>
            </w:r>
          </w:p>
        </w:tc>
        <w:tc>
          <w:tcPr>
            <w:tcW w:w="1117" w:type="dxa"/>
            <w:vAlign w:val="center"/>
          </w:tcPr>
          <w:p w:rsidR="00894572" w:rsidRDefault="00894572" w:rsidP="00894572">
            <w:pPr>
              <w:spacing w:after="0" w:line="240" w:lineRule="auto"/>
              <w:jc w:val="center"/>
              <w:rPr>
                <w:sz w:val="20"/>
                <w:szCs w:val="20"/>
              </w:rPr>
            </w:pPr>
            <w:r>
              <w:rPr>
                <w:sz w:val="20"/>
                <w:szCs w:val="20"/>
              </w:rPr>
              <w:t>35,4</w:t>
            </w:r>
          </w:p>
        </w:tc>
      </w:tr>
      <w:tr w:rsidR="00894572" w:rsidRPr="00D943DB" w:rsidTr="00894572">
        <w:trPr>
          <w:trHeight w:val="300"/>
        </w:trPr>
        <w:tc>
          <w:tcPr>
            <w:tcW w:w="843" w:type="dxa"/>
            <w:noWrap/>
            <w:hideMark/>
          </w:tcPr>
          <w:p w:rsidR="00894572" w:rsidRPr="00C85257" w:rsidRDefault="00894572" w:rsidP="00073EE4">
            <w:pPr>
              <w:spacing w:after="0" w:line="240" w:lineRule="auto"/>
              <w:rPr>
                <w:b/>
                <w:bCs/>
                <w:sz w:val="20"/>
                <w:szCs w:val="20"/>
              </w:rPr>
            </w:pPr>
            <w:r w:rsidRPr="00C85257">
              <w:rPr>
                <w:b/>
                <w:bCs/>
                <w:sz w:val="20"/>
                <w:szCs w:val="20"/>
              </w:rPr>
              <w:t>roční průměr</w:t>
            </w:r>
          </w:p>
        </w:tc>
        <w:tc>
          <w:tcPr>
            <w:tcW w:w="1104" w:type="dxa"/>
            <w:noWrap/>
            <w:vAlign w:val="center"/>
            <w:hideMark/>
          </w:tcPr>
          <w:p w:rsidR="00894572" w:rsidRPr="00C85257" w:rsidRDefault="00894572" w:rsidP="00894572">
            <w:pPr>
              <w:spacing w:after="0" w:line="240" w:lineRule="auto"/>
              <w:jc w:val="center"/>
              <w:rPr>
                <w:sz w:val="20"/>
                <w:szCs w:val="20"/>
              </w:rPr>
            </w:pPr>
            <w:r w:rsidRPr="00C85257">
              <w:rPr>
                <w:sz w:val="20"/>
                <w:szCs w:val="20"/>
              </w:rPr>
              <w:t>0,</w:t>
            </w:r>
            <w:r>
              <w:rPr>
                <w:sz w:val="20"/>
                <w:szCs w:val="20"/>
              </w:rPr>
              <w:t>7</w:t>
            </w:r>
          </w:p>
        </w:tc>
        <w:tc>
          <w:tcPr>
            <w:tcW w:w="1103" w:type="dxa"/>
            <w:noWrap/>
            <w:vAlign w:val="center"/>
            <w:hideMark/>
          </w:tcPr>
          <w:p w:rsidR="00894572" w:rsidRPr="00C85257" w:rsidRDefault="00894572" w:rsidP="00894572">
            <w:pPr>
              <w:spacing w:after="0" w:line="240" w:lineRule="auto"/>
              <w:jc w:val="center"/>
              <w:rPr>
                <w:sz w:val="20"/>
                <w:szCs w:val="20"/>
              </w:rPr>
            </w:pPr>
            <w:r w:rsidRPr="00C85257">
              <w:rPr>
                <w:sz w:val="20"/>
                <w:szCs w:val="20"/>
              </w:rPr>
              <w:t>0,2</w:t>
            </w:r>
          </w:p>
        </w:tc>
        <w:tc>
          <w:tcPr>
            <w:tcW w:w="1103" w:type="dxa"/>
            <w:noWrap/>
            <w:vAlign w:val="center"/>
            <w:hideMark/>
          </w:tcPr>
          <w:p w:rsidR="00894572" w:rsidRPr="00C85257" w:rsidRDefault="00894572" w:rsidP="00894572">
            <w:pPr>
              <w:spacing w:after="0" w:line="240" w:lineRule="auto"/>
              <w:jc w:val="center"/>
              <w:rPr>
                <w:sz w:val="20"/>
                <w:szCs w:val="20"/>
              </w:rPr>
            </w:pPr>
            <w:r w:rsidRPr="00C85257">
              <w:rPr>
                <w:sz w:val="20"/>
                <w:szCs w:val="20"/>
              </w:rPr>
              <w:t>1,</w:t>
            </w:r>
            <w:r>
              <w:rPr>
                <w:sz w:val="20"/>
                <w:szCs w:val="20"/>
              </w:rPr>
              <w:t>1</w:t>
            </w:r>
          </w:p>
        </w:tc>
        <w:tc>
          <w:tcPr>
            <w:tcW w:w="1103" w:type="dxa"/>
            <w:noWrap/>
            <w:vAlign w:val="center"/>
            <w:hideMark/>
          </w:tcPr>
          <w:p w:rsidR="00894572" w:rsidRPr="00C85257" w:rsidRDefault="00894572" w:rsidP="00073EE4">
            <w:pPr>
              <w:spacing w:after="0" w:line="240" w:lineRule="auto"/>
              <w:jc w:val="center"/>
              <w:rPr>
                <w:sz w:val="20"/>
                <w:szCs w:val="20"/>
              </w:rPr>
            </w:pPr>
            <w:r w:rsidRPr="00C85257">
              <w:rPr>
                <w:sz w:val="20"/>
                <w:szCs w:val="20"/>
              </w:rPr>
              <w:t>1,7</w:t>
            </w:r>
          </w:p>
        </w:tc>
        <w:tc>
          <w:tcPr>
            <w:tcW w:w="1103" w:type="dxa"/>
            <w:noWrap/>
            <w:vAlign w:val="center"/>
            <w:hideMark/>
          </w:tcPr>
          <w:p w:rsidR="00894572" w:rsidRPr="00C85257" w:rsidRDefault="00894572" w:rsidP="00073EE4">
            <w:pPr>
              <w:spacing w:after="0" w:line="240" w:lineRule="auto"/>
              <w:jc w:val="center"/>
              <w:rPr>
                <w:sz w:val="20"/>
                <w:szCs w:val="20"/>
              </w:rPr>
            </w:pPr>
            <w:r w:rsidRPr="00C85257">
              <w:rPr>
                <w:sz w:val="20"/>
                <w:szCs w:val="20"/>
              </w:rPr>
              <w:t>1</w:t>
            </w:r>
          </w:p>
        </w:tc>
        <w:tc>
          <w:tcPr>
            <w:tcW w:w="1103" w:type="dxa"/>
            <w:noWrap/>
            <w:vAlign w:val="center"/>
            <w:hideMark/>
          </w:tcPr>
          <w:p w:rsidR="00894572" w:rsidRPr="00C85257" w:rsidRDefault="00894572" w:rsidP="00894572">
            <w:pPr>
              <w:spacing w:after="0" w:line="240" w:lineRule="auto"/>
              <w:jc w:val="center"/>
              <w:rPr>
                <w:sz w:val="20"/>
                <w:szCs w:val="20"/>
              </w:rPr>
            </w:pPr>
            <w:r w:rsidRPr="00C85257">
              <w:rPr>
                <w:sz w:val="20"/>
                <w:szCs w:val="20"/>
              </w:rPr>
              <w:t>1,</w:t>
            </w:r>
            <w:r>
              <w:rPr>
                <w:sz w:val="20"/>
                <w:szCs w:val="20"/>
              </w:rPr>
              <w:t>6</w:t>
            </w:r>
          </w:p>
        </w:tc>
        <w:tc>
          <w:tcPr>
            <w:tcW w:w="1197" w:type="dxa"/>
            <w:noWrap/>
            <w:vAlign w:val="center"/>
            <w:hideMark/>
          </w:tcPr>
          <w:p w:rsidR="00894572" w:rsidRPr="00C85257" w:rsidRDefault="00894572" w:rsidP="00894572">
            <w:pPr>
              <w:spacing w:after="0" w:line="240" w:lineRule="auto"/>
              <w:jc w:val="center"/>
              <w:rPr>
                <w:sz w:val="20"/>
                <w:szCs w:val="20"/>
              </w:rPr>
            </w:pPr>
            <w:r>
              <w:rPr>
                <w:sz w:val="20"/>
                <w:szCs w:val="20"/>
              </w:rPr>
              <w:t>5</w:t>
            </w:r>
            <w:r w:rsidRPr="00C85257">
              <w:rPr>
                <w:sz w:val="20"/>
                <w:szCs w:val="20"/>
              </w:rPr>
              <w:t>,</w:t>
            </w:r>
            <w:r>
              <w:rPr>
                <w:sz w:val="20"/>
                <w:szCs w:val="20"/>
              </w:rPr>
              <w:t>6</w:t>
            </w:r>
          </w:p>
        </w:tc>
        <w:tc>
          <w:tcPr>
            <w:tcW w:w="1117" w:type="dxa"/>
            <w:vAlign w:val="center"/>
          </w:tcPr>
          <w:p w:rsidR="00894572" w:rsidRDefault="00894572" w:rsidP="00894572">
            <w:pPr>
              <w:spacing w:after="0" w:line="240" w:lineRule="auto"/>
              <w:jc w:val="center"/>
              <w:rPr>
                <w:sz w:val="20"/>
                <w:szCs w:val="20"/>
              </w:rPr>
            </w:pPr>
            <w:r>
              <w:rPr>
                <w:sz w:val="20"/>
                <w:szCs w:val="20"/>
              </w:rPr>
              <w:t>2,2</w:t>
            </w:r>
          </w:p>
        </w:tc>
      </w:tr>
    </w:tbl>
    <w:p w:rsidR="00E300C2" w:rsidRDefault="00E300C2" w:rsidP="00E06990">
      <w:pPr>
        <w:spacing w:after="0"/>
        <w:rPr>
          <w:i/>
          <w:sz w:val="20"/>
          <w:szCs w:val="20"/>
        </w:rPr>
      </w:pPr>
    </w:p>
    <w:p w:rsidR="00E300C2" w:rsidRDefault="00E300C2" w:rsidP="00073EE4">
      <w:pPr>
        <w:rPr>
          <w:i/>
          <w:sz w:val="20"/>
          <w:szCs w:val="20"/>
        </w:rPr>
      </w:pPr>
      <w:r w:rsidRPr="00E06990">
        <w:rPr>
          <w:b/>
          <w:i/>
          <w:sz w:val="20"/>
          <w:szCs w:val="20"/>
        </w:rPr>
        <w:t>Tabulka 2</w:t>
      </w:r>
      <w:r>
        <w:rPr>
          <w:i/>
          <w:sz w:val="20"/>
          <w:szCs w:val="20"/>
        </w:rPr>
        <w:t>: Evidované kůrovcové dříví v letech 1964 – 2018, v tis. m</w:t>
      </w:r>
      <w:r w:rsidRPr="00E300C2">
        <w:rPr>
          <w:i/>
          <w:sz w:val="20"/>
          <w:szCs w:val="20"/>
          <w:vertAlign w:val="superscript"/>
        </w:rPr>
        <w:t>3</w:t>
      </w:r>
    </w:p>
    <w:tbl>
      <w:tblPr>
        <w:tblStyle w:val="Mkatabulky"/>
        <w:tblW w:w="0" w:type="auto"/>
        <w:tblLook w:val="04A0" w:firstRow="1" w:lastRow="0" w:firstColumn="1" w:lastColumn="0" w:noHBand="0" w:noVBand="1"/>
      </w:tblPr>
      <w:tblGrid>
        <w:gridCol w:w="734"/>
        <w:gridCol w:w="638"/>
        <w:gridCol w:w="622"/>
        <w:gridCol w:w="631"/>
        <w:gridCol w:w="646"/>
        <w:gridCol w:w="622"/>
        <w:gridCol w:w="631"/>
        <w:gridCol w:w="622"/>
        <w:gridCol w:w="631"/>
        <w:gridCol w:w="622"/>
        <w:gridCol w:w="631"/>
        <w:gridCol w:w="622"/>
        <w:gridCol w:w="631"/>
        <w:gridCol w:w="723"/>
        <w:gridCol w:w="622"/>
      </w:tblGrid>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sidRPr="00902E1F">
              <w:rPr>
                <w:sz w:val="20"/>
                <w:szCs w:val="20"/>
              </w:rPr>
              <w:t>rok</w:t>
            </w:r>
          </w:p>
        </w:tc>
        <w:tc>
          <w:tcPr>
            <w:tcW w:w="650" w:type="dxa"/>
            <w:vAlign w:val="center"/>
          </w:tcPr>
          <w:p w:rsidR="00902E1F" w:rsidRPr="00902E1F" w:rsidRDefault="00902E1F" w:rsidP="00E06990">
            <w:pPr>
              <w:spacing w:after="0" w:line="240" w:lineRule="auto"/>
              <w:jc w:val="center"/>
              <w:rPr>
                <w:b/>
                <w:sz w:val="20"/>
                <w:szCs w:val="20"/>
              </w:rPr>
            </w:pPr>
            <w:r w:rsidRPr="00902E1F">
              <w:rPr>
                <w:b/>
                <w:sz w:val="20"/>
                <w:szCs w:val="20"/>
              </w:rPr>
              <w:t>1964</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1965</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1966</w:t>
            </w:r>
          </w:p>
        </w:tc>
        <w:tc>
          <w:tcPr>
            <w:tcW w:w="665" w:type="dxa"/>
            <w:vAlign w:val="center"/>
          </w:tcPr>
          <w:p w:rsidR="00902E1F" w:rsidRPr="00902E1F" w:rsidRDefault="00902E1F" w:rsidP="00E06990">
            <w:pPr>
              <w:spacing w:after="0" w:line="240" w:lineRule="auto"/>
              <w:jc w:val="center"/>
              <w:rPr>
                <w:b/>
                <w:sz w:val="20"/>
                <w:szCs w:val="20"/>
              </w:rPr>
            </w:pPr>
            <w:r w:rsidRPr="00902E1F">
              <w:rPr>
                <w:b/>
                <w:sz w:val="20"/>
                <w:szCs w:val="20"/>
              </w:rPr>
              <w:t>1967</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1968</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1969</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1970</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1971</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1972</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1973</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1974</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1975</w:t>
            </w:r>
          </w:p>
        </w:tc>
        <w:tc>
          <w:tcPr>
            <w:tcW w:w="657" w:type="dxa"/>
            <w:vAlign w:val="center"/>
          </w:tcPr>
          <w:p w:rsidR="00902E1F" w:rsidRPr="00902E1F" w:rsidRDefault="00902E1F" w:rsidP="00E06990">
            <w:pPr>
              <w:spacing w:after="0" w:line="240" w:lineRule="auto"/>
              <w:jc w:val="center"/>
              <w:rPr>
                <w:b/>
                <w:sz w:val="20"/>
                <w:szCs w:val="20"/>
              </w:rPr>
            </w:pPr>
            <w:r w:rsidRPr="00902E1F">
              <w:rPr>
                <w:b/>
                <w:sz w:val="20"/>
                <w:szCs w:val="20"/>
              </w:rPr>
              <w:t>1976</w:t>
            </w:r>
          </w:p>
        </w:tc>
        <w:tc>
          <w:tcPr>
            <w:tcW w:w="622" w:type="dxa"/>
            <w:vAlign w:val="center"/>
          </w:tcPr>
          <w:p w:rsidR="00902E1F" w:rsidRPr="00902E1F" w:rsidRDefault="00902E1F" w:rsidP="00E06990">
            <w:pPr>
              <w:spacing w:after="0" w:line="240" w:lineRule="auto"/>
              <w:jc w:val="center"/>
              <w:rPr>
                <w:b/>
                <w:sz w:val="20"/>
                <w:szCs w:val="20"/>
              </w:rPr>
            </w:pPr>
            <w:r>
              <w:rPr>
                <w:b/>
                <w:sz w:val="20"/>
                <w:szCs w:val="20"/>
              </w:rPr>
              <w:t>1977</w:t>
            </w:r>
          </w:p>
        </w:tc>
      </w:tr>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Pr>
                <w:sz w:val="20"/>
                <w:szCs w:val="20"/>
              </w:rPr>
              <w:t>objem</w:t>
            </w:r>
          </w:p>
        </w:tc>
        <w:tc>
          <w:tcPr>
            <w:tcW w:w="650"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287</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361</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245</w:t>
            </w:r>
          </w:p>
        </w:tc>
        <w:tc>
          <w:tcPr>
            <w:tcW w:w="665"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217</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218</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460</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208</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261</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342</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356</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401</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372</w:t>
            </w:r>
          </w:p>
        </w:tc>
        <w:tc>
          <w:tcPr>
            <w:tcW w:w="657"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426</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489</w:t>
            </w:r>
          </w:p>
        </w:tc>
      </w:tr>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sidRPr="00902E1F">
              <w:rPr>
                <w:sz w:val="20"/>
                <w:szCs w:val="20"/>
              </w:rPr>
              <w:t>rok</w:t>
            </w:r>
          </w:p>
        </w:tc>
        <w:tc>
          <w:tcPr>
            <w:tcW w:w="650" w:type="dxa"/>
            <w:vAlign w:val="center"/>
          </w:tcPr>
          <w:p w:rsidR="00902E1F" w:rsidRPr="00902E1F" w:rsidRDefault="00902E1F" w:rsidP="00E06990">
            <w:pPr>
              <w:spacing w:after="0" w:line="240" w:lineRule="auto"/>
              <w:jc w:val="center"/>
              <w:rPr>
                <w:b/>
                <w:sz w:val="20"/>
                <w:szCs w:val="20"/>
              </w:rPr>
            </w:pPr>
            <w:r w:rsidRPr="00902E1F">
              <w:rPr>
                <w:b/>
                <w:sz w:val="20"/>
                <w:szCs w:val="20"/>
              </w:rPr>
              <w:t>1978</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1979</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1980</w:t>
            </w:r>
          </w:p>
        </w:tc>
        <w:tc>
          <w:tcPr>
            <w:tcW w:w="665" w:type="dxa"/>
            <w:vAlign w:val="center"/>
          </w:tcPr>
          <w:p w:rsidR="00902E1F" w:rsidRPr="00902E1F" w:rsidRDefault="00902E1F" w:rsidP="00E06990">
            <w:pPr>
              <w:spacing w:after="0" w:line="240" w:lineRule="auto"/>
              <w:jc w:val="center"/>
              <w:rPr>
                <w:b/>
                <w:sz w:val="20"/>
                <w:szCs w:val="20"/>
              </w:rPr>
            </w:pPr>
            <w:r w:rsidRPr="00902E1F">
              <w:rPr>
                <w:b/>
                <w:sz w:val="20"/>
                <w:szCs w:val="20"/>
              </w:rPr>
              <w:t>1981</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1982</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1983</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1984</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1985</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1986</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1987</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1988</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1989</w:t>
            </w:r>
          </w:p>
        </w:tc>
        <w:tc>
          <w:tcPr>
            <w:tcW w:w="657" w:type="dxa"/>
            <w:vAlign w:val="center"/>
          </w:tcPr>
          <w:p w:rsidR="00902E1F" w:rsidRPr="00902E1F" w:rsidRDefault="00902E1F" w:rsidP="00E06990">
            <w:pPr>
              <w:spacing w:after="0" w:line="240" w:lineRule="auto"/>
              <w:jc w:val="center"/>
              <w:rPr>
                <w:b/>
                <w:sz w:val="20"/>
                <w:szCs w:val="20"/>
              </w:rPr>
            </w:pPr>
            <w:r>
              <w:rPr>
                <w:b/>
                <w:sz w:val="20"/>
                <w:szCs w:val="20"/>
              </w:rPr>
              <w:t>1990</w:t>
            </w:r>
          </w:p>
        </w:tc>
        <w:tc>
          <w:tcPr>
            <w:tcW w:w="622" w:type="dxa"/>
            <w:vAlign w:val="center"/>
          </w:tcPr>
          <w:p w:rsidR="00902E1F" w:rsidRPr="00902E1F" w:rsidRDefault="00902E1F" w:rsidP="00E06990">
            <w:pPr>
              <w:spacing w:after="0" w:line="240" w:lineRule="auto"/>
              <w:jc w:val="center"/>
              <w:rPr>
                <w:b/>
                <w:sz w:val="20"/>
                <w:szCs w:val="20"/>
              </w:rPr>
            </w:pPr>
            <w:r>
              <w:rPr>
                <w:b/>
                <w:sz w:val="20"/>
                <w:szCs w:val="20"/>
              </w:rPr>
              <w:t>1991</w:t>
            </w:r>
          </w:p>
        </w:tc>
      </w:tr>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Pr>
                <w:sz w:val="20"/>
                <w:szCs w:val="20"/>
              </w:rPr>
              <w:t>objem</w:t>
            </w:r>
          </w:p>
        </w:tc>
        <w:tc>
          <w:tcPr>
            <w:tcW w:w="650"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367</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263</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326</w:t>
            </w:r>
          </w:p>
        </w:tc>
        <w:tc>
          <w:tcPr>
            <w:tcW w:w="665"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311</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393</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1202</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1711</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664</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1092</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1142</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784</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sidRPr="00902E1F">
              <w:rPr>
                <w:sz w:val="20"/>
                <w:szCs w:val="20"/>
              </w:rPr>
              <w:t>340</w:t>
            </w:r>
          </w:p>
        </w:tc>
        <w:tc>
          <w:tcPr>
            <w:tcW w:w="657"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297</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220</w:t>
            </w:r>
          </w:p>
        </w:tc>
      </w:tr>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sidRPr="00902E1F">
              <w:rPr>
                <w:sz w:val="20"/>
                <w:szCs w:val="20"/>
              </w:rPr>
              <w:t>rok</w:t>
            </w:r>
          </w:p>
        </w:tc>
        <w:tc>
          <w:tcPr>
            <w:tcW w:w="650" w:type="dxa"/>
            <w:vAlign w:val="center"/>
          </w:tcPr>
          <w:p w:rsidR="00902E1F" w:rsidRPr="00902E1F" w:rsidRDefault="00902E1F" w:rsidP="00E06990">
            <w:pPr>
              <w:spacing w:after="0" w:line="240" w:lineRule="auto"/>
              <w:jc w:val="center"/>
              <w:rPr>
                <w:b/>
                <w:sz w:val="20"/>
                <w:szCs w:val="20"/>
              </w:rPr>
            </w:pPr>
            <w:r w:rsidRPr="00902E1F">
              <w:rPr>
                <w:b/>
                <w:sz w:val="20"/>
                <w:szCs w:val="20"/>
              </w:rPr>
              <w:t>1992</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1993</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1994</w:t>
            </w:r>
          </w:p>
        </w:tc>
        <w:tc>
          <w:tcPr>
            <w:tcW w:w="665" w:type="dxa"/>
            <w:vAlign w:val="center"/>
          </w:tcPr>
          <w:p w:rsidR="00902E1F" w:rsidRPr="00902E1F" w:rsidRDefault="00902E1F" w:rsidP="00E06990">
            <w:pPr>
              <w:spacing w:after="0" w:line="240" w:lineRule="auto"/>
              <w:jc w:val="center"/>
              <w:rPr>
                <w:b/>
                <w:sz w:val="20"/>
                <w:szCs w:val="20"/>
              </w:rPr>
            </w:pPr>
            <w:r w:rsidRPr="00902E1F">
              <w:rPr>
                <w:b/>
                <w:sz w:val="20"/>
                <w:szCs w:val="20"/>
              </w:rPr>
              <w:t>1995</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1996</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1997</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1998</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1999</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2000</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2001</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2002</w:t>
            </w:r>
          </w:p>
        </w:tc>
        <w:tc>
          <w:tcPr>
            <w:tcW w:w="638" w:type="dxa"/>
            <w:vAlign w:val="center"/>
          </w:tcPr>
          <w:p w:rsidR="00902E1F" w:rsidRPr="00902E1F" w:rsidRDefault="00902E1F" w:rsidP="00E06990">
            <w:pPr>
              <w:spacing w:after="0" w:line="240" w:lineRule="auto"/>
              <w:jc w:val="center"/>
              <w:rPr>
                <w:b/>
                <w:sz w:val="20"/>
                <w:szCs w:val="20"/>
              </w:rPr>
            </w:pPr>
            <w:r>
              <w:rPr>
                <w:b/>
                <w:sz w:val="20"/>
                <w:szCs w:val="20"/>
              </w:rPr>
              <w:t>2003</w:t>
            </w:r>
          </w:p>
        </w:tc>
        <w:tc>
          <w:tcPr>
            <w:tcW w:w="657" w:type="dxa"/>
            <w:vAlign w:val="center"/>
          </w:tcPr>
          <w:p w:rsidR="00902E1F" w:rsidRPr="00902E1F" w:rsidRDefault="00902E1F" w:rsidP="00E06990">
            <w:pPr>
              <w:spacing w:after="0" w:line="240" w:lineRule="auto"/>
              <w:jc w:val="center"/>
              <w:rPr>
                <w:b/>
                <w:sz w:val="20"/>
                <w:szCs w:val="20"/>
              </w:rPr>
            </w:pPr>
            <w:r>
              <w:rPr>
                <w:b/>
                <w:sz w:val="20"/>
                <w:szCs w:val="20"/>
              </w:rPr>
              <w:t>2004</w:t>
            </w:r>
          </w:p>
        </w:tc>
        <w:tc>
          <w:tcPr>
            <w:tcW w:w="622" w:type="dxa"/>
            <w:vAlign w:val="center"/>
          </w:tcPr>
          <w:p w:rsidR="00902E1F" w:rsidRPr="00902E1F" w:rsidRDefault="00902E1F" w:rsidP="00E06990">
            <w:pPr>
              <w:spacing w:after="0" w:line="240" w:lineRule="auto"/>
              <w:jc w:val="center"/>
              <w:rPr>
                <w:b/>
                <w:sz w:val="20"/>
                <w:szCs w:val="20"/>
              </w:rPr>
            </w:pPr>
            <w:r>
              <w:rPr>
                <w:b/>
                <w:sz w:val="20"/>
                <w:szCs w:val="20"/>
              </w:rPr>
              <w:t>2005</w:t>
            </w:r>
          </w:p>
        </w:tc>
      </w:tr>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Pr>
                <w:sz w:val="20"/>
                <w:szCs w:val="20"/>
              </w:rPr>
              <w:t>objem</w:t>
            </w:r>
          </w:p>
        </w:tc>
        <w:tc>
          <w:tcPr>
            <w:tcW w:w="650"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720</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1553</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1584</w:t>
            </w:r>
          </w:p>
        </w:tc>
        <w:tc>
          <w:tcPr>
            <w:tcW w:w="665"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1461</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968</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373</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351</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263</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296</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171</w:t>
            </w:r>
          </w:p>
        </w:tc>
        <w:tc>
          <w:tcPr>
            <w:tcW w:w="622"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179</w:t>
            </w:r>
          </w:p>
        </w:tc>
        <w:tc>
          <w:tcPr>
            <w:tcW w:w="638"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1006</w:t>
            </w:r>
          </w:p>
        </w:tc>
        <w:tc>
          <w:tcPr>
            <w:tcW w:w="657" w:type="dxa"/>
            <w:shd w:val="clear" w:color="auto" w:fill="E7E6E6" w:themeFill="background2"/>
            <w:vAlign w:val="center"/>
          </w:tcPr>
          <w:p w:rsidR="00902E1F" w:rsidRPr="00902E1F" w:rsidRDefault="00902E1F" w:rsidP="00E06990">
            <w:pPr>
              <w:spacing w:after="0" w:line="240" w:lineRule="auto"/>
              <w:jc w:val="center"/>
              <w:rPr>
                <w:sz w:val="20"/>
                <w:szCs w:val="20"/>
              </w:rPr>
            </w:pPr>
            <w:r>
              <w:rPr>
                <w:sz w:val="20"/>
                <w:szCs w:val="20"/>
              </w:rPr>
              <w:t>939</w:t>
            </w:r>
          </w:p>
        </w:tc>
        <w:tc>
          <w:tcPr>
            <w:tcW w:w="622"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636</w:t>
            </w:r>
          </w:p>
        </w:tc>
        <w:bookmarkStart w:id="0" w:name="_GoBack"/>
        <w:bookmarkEnd w:id="0"/>
      </w:tr>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sidRPr="00902E1F">
              <w:rPr>
                <w:sz w:val="20"/>
                <w:szCs w:val="20"/>
              </w:rPr>
              <w:t>rok</w:t>
            </w:r>
          </w:p>
        </w:tc>
        <w:tc>
          <w:tcPr>
            <w:tcW w:w="650" w:type="dxa"/>
            <w:vAlign w:val="center"/>
          </w:tcPr>
          <w:p w:rsidR="00902E1F" w:rsidRPr="00902E1F" w:rsidRDefault="00902E1F" w:rsidP="00E06990">
            <w:pPr>
              <w:spacing w:after="0" w:line="240" w:lineRule="auto"/>
              <w:jc w:val="center"/>
              <w:rPr>
                <w:b/>
                <w:sz w:val="20"/>
                <w:szCs w:val="20"/>
              </w:rPr>
            </w:pPr>
            <w:r w:rsidRPr="00902E1F">
              <w:rPr>
                <w:b/>
                <w:sz w:val="20"/>
                <w:szCs w:val="20"/>
              </w:rPr>
              <w:t>2006</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2007</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2008</w:t>
            </w:r>
          </w:p>
        </w:tc>
        <w:tc>
          <w:tcPr>
            <w:tcW w:w="665" w:type="dxa"/>
            <w:vAlign w:val="center"/>
          </w:tcPr>
          <w:p w:rsidR="00902E1F" w:rsidRPr="00902E1F" w:rsidRDefault="00902E1F" w:rsidP="00E06990">
            <w:pPr>
              <w:spacing w:after="0" w:line="240" w:lineRule="auto"/>
              <w:jc w:val="center"/>
              <w:rPr>
                <w:b/>
                <w:sz w:val="20"/>
                <w:szCs w:val="20"/>
              </w:rPr>
            </w:pPr>
            <w:r w:rsidRPr="00902E1F">
              <w:rPr>
                <w:b/>
                <w:sz w:val="20"/>
                <w:szCs w:val="20"/>
              </w:rPr>
              <w:t>2009</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2010</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2011</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2012</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2013</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2014</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2015</w:t>
            </w:r>
          </w:p>
        </w:tc>
        <w:tc>
          <w:tcPr>
            <w:tcW w:w="622" w:type="dxa"/>
            <w:vAlign w:val="center"/>
          </w:tcPr>
          <w:p w:rsidR="00902E1F" w:rsidRPr="00902E1F" w:rsidRDefault="00902E1F" w:rsidP="00E06990">
            <w:pPr>
              <w:spacing w:after="0" w:line="240" w:lineRule="auto"/>
              <w:jc w:val="center"/>
              <w:rPr>
                <w:b/>
                <w:sz w:val="20"/>
                <w:szCs w:val="20"/>
              </w:rPr>
            </w:pPr>
            <w:r w:rsidRPr="00902E1F">
              <w:rPr>
                <w:b/>
                <w:sz w:val="20"/>
                <w:szCs w:val="20"/>
              </w:rPr>
              <w:t>2016</w:t>
            </w:r>
          </w:p>
        </w:tc>
        <w:tc>
          <w:tcPr>
            <w:tcW w:w="638" w:type="dxa"/>
            <w:vAlign w:val="center"/>
          </w:tcPr>
          <w:p w:rsidR="00902E1F" w:rsidRPr="00902E1F" w:rsidRDefault="00902E1F" w:rsidP="00E06990">
            <w:pPr>
              <w:spacing w:after="0" w:line="240" w:lineRule="auto"/>
              <w:jc w:val="center"/>
              <w:rPr>
                <w:b/>
                <w:sz w:val="20"/>
                <w:szCs w:val="20"/>
              </w:rPr>
            </w:pPr>
            <w:r w:rsidRPr="00902E1F">
              <w:rPr>
                <w:b/>
                <w:sz w:val="20"/>
                <w:szCs w:val="20"/>
              </w:rPr>
              <w:t>2017</w:t>
            </w:r>
          </w:p>
        </w:tc>
        <w:tc>
          <w:tcPr>
            <w:tcW w:w="657" w:type="dxa"/>
            <w:vAlign w:val="center"/>
          </w:tcPr>
          <w:p w:rsidR="00902E1F" w:rsidRPr="00902E1F" w:rsidRDefault="00902E1F" w:rsidP="00E06990">
            <w:pPr>
              <w:spacing w:after="0" w:line="240" w:lineRule="auto"/>
              <w:jc w:val="center"/>
              <w:rPr>
                <w:b/>
                <w:sz w:val="20"/>
                <w:szCs w:val="20"/>
              </w:rPr>
            </w:pPr>
            <w:r w:rsidRPr="00902E1F">
              <w:rPr>
                <w:b/>
                <w:sz w:val="20"/>
                <w:szCs w:val="20"/>
              </w:rPr>
              <w:t>2018</w:t>
            </w:r>
          </w:p>
        </w:tc>
        <w:tc>
          <w:tcPr>
            <w:tcW w:w="622" w:type="dxa"/>
            <w:vAlign w:val="center"/>
          </w:tcPr>
          <w:p w:rsidR="00902E1F" w:rsidRDefault="00902E1F" w:rsidP="00E06990">
            <w:pPr>
              <w:spacing w:after="0" w:line="240" w:lineRule="auto"/>
              <w:jc w:val="center"/>
              <w:rPr>
                <w:sz w:val="20"/>
                <w:szCs w:val="20"/>
              </w:rPr>
            </w:pPr>
          </w:p>
        </w:tc>
      </w:tr>
      <w:tr w:rsidR="00902E1F" w:rsidTr="00E06990">
        <w:trPr>
          <w:trHeight w:val="340"/>
        </w:trPr>
        <w:tc>
          <w:tcPr>
            <w:tcW w:w="734" w:type="dxa"/>
            <w:vAlign w:val="center"/>
          </w:tcPr>
          <w:p w:rsidR="00902E1F" w:rsidRPr="00902E1F" w:rsidRDefault="00902E1F" w:rsidP="00E06990">
            <w:pPr>
              <w:spacing w:after="0" w:line="240" w:lineRule="auto"/>
              <w:rPr>
                <w:sz w:val="20"/>
                <w:szCs w:val="20"/>
              </w:rPr>
            </w:pPr>
            <w:r>
              <w:rPr>
                <w:sz w:val="20"/>
                <w:szCs w:val="20"/>
              </w:rPr>
              <w:t>objem</w:t>
            </w:r>
          </w:p>
        </w:tc>
        <w:tc>
          <w:tcPr>
            <w:tcW w:w="650"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709</w:t>
            </w:r>
          </w:p>
        </w:tc>
        <w:tc>
          <w:tcPr>
            <w:tcW w:w="622"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1292</w:t>
            </w:r>
          </w:p>
        </w:tc>
        <w:tc>
          <w:tcPr>
            <w:tcW w:w="638"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1652</w:t>
            </w:r>
          </w:p>
        </w:tc>
        <w:tc>
          <w:tcPr>
            <w:tcW w:w="665"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1652</w:t>
            </w:r>
          </w:p>
        </w:tc>
        <w:tc>
          <w:tcPr>
            <w:tcW w:w="622"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1856</w:t>
            </w:r>
          </w:p>
        </w:tc>
        <w:tc>
          <w:tcPr>
            <w:tcW w:w="638"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814</w:t>
            </w:r>
          </w:p>
        </w:tc>
        <w:tc>
          <w:tcPr>
            <w:tcW w:w="622"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633</w:t>
            </w:r>
          </w:p>
        </w:tc>
        <w:tc>
          <w:tcPr>
            <w:tcW w:w="638"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816</w:t>
            </w:r>
          </w:p>
        </w:tc>
        <w:tc>
          <w:tcPr>
            <w:tcW w:w="622" w:type="dxa"/>
            <w:shd w:val="clear" w:color="auto" w:fill="E7E6E6" w:themeFill="background2"/>
            <w:vAlign w:val="center"/>
          </w:tcPr>
          <w:p w:rsidR="00902E1F" w:rsidRDefault="00902E1F" w:rsidP="00E06990">
            <w:pPr>
              <w:spacing w:after="0" w:line="240" w:lineRule="auto"/>
              <w:jc w:val="center"/>
              <w:rPr>
                <w:sz w:val="20"/>
                <w:szCs w:val="20"/>
              </w:rPr>
            </w:pPr>
            <w:r>
              <w:rPr>
                <w:sz w:val="20"/>
                <w:szCs w:val="20"/>
              </w:rPr>
              <w:t>896</w:t>
            </w:r>
          </w:p>
        </w:tc>
        <w:tc>
          <w:tcPr>
            <w:tcW w:w="638" w:type="dxa"/>
            <w:shd w:val="clear" w:color="auto" w:fill="E7E6E6" w:themeFill="background2"/>
            <w:vAlign w:val="center"/>
          </w:tcPr>
          <w:p w:rsidR="00902E1F" w:rsidRDefault="00F4643B" w:rsidP="00E06990">
            <w:pPr>
              <w:spacing w:after="0" w:line="240" w:lineRule="auto"/>
              <w:jc w:val="center"/>
              <w:rPr>
                <w:sz w:val="20"/>
                <w:szCs w:val="20"/>
              </w:rPr>
            </w:pPr>
            <w:r>
              <w:rPr>
                <w:sz w:val="20"/>
                <w:szCs w:val="20"/>
              </w:rPr>
              <w:t>1477</w:t>
            </w:r>
          </w:p>
        </w:tc>
        <w:tc>
          <w:tcPr>
            <w:tcW w:w="622" w:type="dxa"/>
            <w:shd w:val="clear" w:color="auto" w:fill="E7E6E6" w:themeFill="background2"/>
            <w:vAlign w:val="center"/>
          </w:tcPr>
          <w:p w:rsidR="00902E1F" w:rsidRDefault="00F4643B" w:rsidP="00E06990">
            <w:pPr>
              <w:spacing w:after="0" w:line="240" w:lineRule="auto"/>
              <w:jc w:val="center"/>
              <w:rPr>
                <w:sz w:val="20"/>
                <w:szCs w:val="20"/>
              </w:rPr>
            </w:pPr>
            <w:r>
              <w:rPr>
                <w:sz w:val="20"/>
                <w:szCs w:val="20"/>
              </w:rPr>
              <w:t>3002</w:t>
            </w:r>
          </w:p>
        </w:tc>
        <w:tc>
          <w:tcPr>
            <w:tcW w:w="638" w:type="dxa"/>
            <w:shd w:val="clear" w:color="auto" w:fill="E7E6E6" w:themeFill="background2"/>
            <w:vAlign w:val="center"/>
          </w:tcPr>
          <w:p w:rsidR="00902E1F" w:rsidRDefault="0095521C" w:rsidP="00E06990">
            <w:pPr>
              <w:spacing w:after="0" w:line="240" w:lineRule="auto"/>
              <w:jc w:val="center"/>
              <w:rPr>
                <w:sz w:val="20"/>
                <w:szCs w:val="20"/>
              </w:rPr>
            </w:pPr>
            <w:r>
              <w:rPr>
                <w:sz w:val="20"/>
                <w:szCs w:val="20"/>
              </w:rPr>
              <w:t>6000</w:t>
            </w:r>
          </w:p>
        </w:tc>
        <w:tc>
          <w:tcPr>
            <w:tcW w:w="657" w:type="dxa"/>
            <w:shd w:val="clear" w:color="auto" w:fill="E7E6E6" w:themeFill="background2"/>
            <w:vAlign w:val="center"/>
          </w:tcPr>
          <w:p w:rsidR="00902E1F" w:rsidRDefault="0095521C" w:rsidP="00E06990">
            <w:pPr>
              <w:spacing w:after="0" w:line="240" w:lineRule="auto"/>
              <w:jc w:val="center"/>
              <w:rPr>
                <w:sz w:val="20"/>
                <w:szCs w:val="20"/>
              </w:rPr>
            </w:pPr>
            <w:r>
              <w:rPr>
                <w:sz w:val="20"/>
                <w:szCs w:val="20"/>
              </w:rPr>
              <w:t>120</w:t>
            </w:r>
            <w:r w:rsidR="00F4643B">
              <w:rPr>
                <w:sz w:val="20"/>
                <w:szCs w:val="20"/>
              </w:rPr>
              <w:t>00</w:t>
            </w:r>
          </w:p>
        </w:tc>
        <w:tc>
          <w:tcPr>
            <w:tcW w:w="622" w:type="dxa"/>
            <w:vAlign w:val="center"/>
          </w:tcPr>
          <w:p w:rsidR="00902E1F" w:rsidRDefault="00902E1F" w:rsidP="00E06990">
            <w:pPr>
              <w:spacing w:after="0" w:line="240" w:lineRule="auto"/>
              <w:jc w:val="center"/>
              <w:rPr>
                <w:sz w:val="20"/>
                <w:szCs w:val="20"/>
              </w:rPr>
            </w:pPr>
          </w:p>
        </w:tc>
      </w:tr>
    </w:tbl>
    <w:p w:rsidR="00E06990" w:rsidRDefault="00E06990" w:rsidP="00E06990">
      <w:pPr>
        <w:spacing w:after="0"/>
        <w:rPr>
          <w:rFonts w:cstheme="minorHAnsi"/>
          <w:sz w:val="20"/>
          <w:szCs w:val="20"/>
        </w:rPr>
      </w:pPr>
    </w:p>
    <w:p w:rsidR="00E06990" w:rsidRDefault="00E06990">
      <w:pPr>
        <w:spacing w:after="160" w:line="259" w:lineRule="auto"/>
        <w:rPr>
          <w:rFonts w:cstheme="minorHAnsi"/>
          <w:sz w:val="20"/>
          <w:szCs w:val="20"/>
        </w:rPr>
      </w:pPr>
      <w:r>
        <w:rPr>
          <w:rFonts w:cstheme="minorHAnsi"/>
          <w:sz w:val="20"/>
          <w:szCs w:val="20"/>
        </w:rPr>
        <w:br w:type="page"/>
      </w:r>
    </w:p>
    <w:p w:rsidR="00073EE4" w:rsidRPr="00C85257" w:rsidRDefault="00E06990" w:rsidP="00E06990">
      <w:pPr>
        <w:spacing w:after="0"/>
        <w:rPr>
          <w:rFonts w:cstheme="minorHAnsi"/>
          <w:i/>
        </w:rPr>
      </w:pPr>
      <w:r>
        <w:rPr>
          <w:rFonts w:cstheme="minorHAnsi"/>
          <w:noProof/>
          <w:sz w:val="20"/>
          <w:szCs w:val="20"/>
          <w:lang w:eastAsia="cs-CZ"/>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258294</wp:posOffset>
            </wp:positionV>
            <wp:extent cx="5525966" cy="3612721"/>
            <wp:effectExtent l="0" t="0" r="0" b="6985"/>
            <wp:wrapSquare wrapText="bothSides"/>
            <wp:docPr id="2" name="obráze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5966" cy="3612721"/>
                    </a:xfrm>
                    <a:prstGeom prst="rect">
                      <a:avLst/>
                    </a:prstGeom>
                    <a:noFill/>
                    <a:ln>
                      <a:noFill/>
                    </a:ln>
                  </pic:spPr>
                </pic:pic>
              </a:graphicData>
            </a:graphic>
            <wp14:sizeRelH relativeFrom="page">
              <wp14:pctWidth>0</wp14:pctWidth>
            </wp14:sizeRelH>
            <wp14:sizeRelV relativeFrom="page">
              <wp14:pctHeight>0</wp14:pctHeight>
            </wp14:sizeRelV>
          </wp:anchor>
        </w:drawing>
      </w:r>
      <w:r w:rsidR="00073EE4" w:rsidRPr="00C85257">
        <w:rPr>
          <w:rFonts w:cstheme="minorHAnsi"/>
          <w:i/>
        </w:rPr>
        <w:t>Mapa: Evidovaný objem kůrovcového dříví za rok 2018</w:t>
      </w:r>
    </w:p>
    <w:p w:rsidR="00B6100A" w:rsidRDefault="00B6100A" w:rsidP="0080005A">
      <w:pPr>
        <w:spacing w:after="120" w:line="259" w:lineRule="auto"/>
        <w:rPr>
          <w:b/>
          <w:i/>
        </w:rPr>
      </w:pPr>
    </w:p>
    <w:p w:rsidR="00440E61" w:rsidRPr="00145872" w:rsidRDefault="0027178C" w:rsidP="0080005A">
      <w:pPr>
        <w:spacing w:after="120" w:line="259" w:lineRule="auto"/>
        <w:rPr>
          <w:b/>
          <w:i/>
        </w:rPr>
      </w:pPr>
      <w:r w:rsidRPr="00145872">
        <w:rPr>
          <w:b/>
          <w:i/>
        </w:rPr>
        <w:t xml:space="preserve">Ilustrační foto: </w:t>
      </w:r>
    </w:p>
    <w:p w:rsidR="00436B4E" w:rsidRDefault="00A44899" w:rsidP="0080005A">
      <w:pPr>
        <w:spacing w:after="120" w:line="259" w:lineRule="auto"/>
        <w:rPr>
          <w:i/>
        </w:rPr>
      </w:pPr>
      <w:r w:rsidRPr="00145872">
        <w:rPr>
          <w:b/>
          <w:i/>
        </w:rPr>
        <w:t>Foto 1:</w:t>
      </w:r>
      <w:r w:rsidRPr="00145872">
        <w:rPr>
          <w:i/>
        </w:rPr>
        <w:t xml:space="preserve"> </w:t>
      </w:r>
      <w:r w:rsidR="00E06990">
        <w:rPr>
          <w:i/>
        </w:rPr>
        <w:t>Rozsáhlé napadení smrkových porostů podkorním hmyzem, Morava, Třebíčsko, Horní Vilémovice, srpen 2018, archiv VÚLHM</w:t>
      </w:r>
    </w:p>
    <w:p w:rsidR="00A44899" w:rsidRPr="00145872" w:rsidRDefault="00A44899" w:rsidP="0080005A">
      <w:pPr>
        <w:spacing w:after="120" w:line="259" w:lineRule="auto"/>
        <w:rPr>
          <w:i/>
        </w:rPr>
      </w:pPr>
      <w:r w:rsidRPr="00145872">
        <w:rPr>
          <w:b/>
          <w:i/>
        </w:rPr>
        <w:t>Foto 2:</w:t>
      </w:r>
      <w:r w:rsidR="00436B4E" w:rsidRPr="00436B4E">
        <w:rPr>
          <w:i/>
        </w:rPr>
        <w:t xml:space="preserve"> </w:t>
      </w:r>
      <w:r w:rsidR="00E06990">
        <w:rPr>
          <w:i/>
        </w:rPr>
        <w:t xml:space="preserve">Rozsáhlé kalamitní holiny po zpracování nahodilých kůrovcových těžeb, Slezsko, Bruntálsko, Karlovice, </w:t>
      </w:r>
      <w:r w:rsidR="00E06990">
        <w:rPr>
          <w:i/>
        </w:rPr>
        <w:t>srpen 2018, archiv VÚLHM</w:t>
      </w:r>
    </w:p>
    <w:sectPr w:rsidR="00A44899" w:rsidRPr="00145872" w:rsidSect="00650B03">
      <w:headerReference w:type="default" r:id="rId11"/>
      <w:pgSz w:w="11906" w:h="16838"/>
      <w:pgMar w:top="3119" w:right="1134" w:bottom="851"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DDC" w:rsidRDefault="00192DDC" w:rsidP="00BD1C47">
      <w:pPr>
        <w:spacing w:after="0" w:line="240" w:lineRule="auto"/>
      </w:pPr>
      <w:r>
        <w:separator/>
      </w:r>
    </w:p>
  </w:endnote>
  <w:endnote w:type="continuationSeparator" w:id="0">
    <w:p w:rsidR="00192DDC" w:rsidRDefault="00192DDC" w:rsidP="00BD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DDC" w:rsidRDefault="00192DDC" w:rsidP="00BD1C47">
      <w:pPr>
        <w:spacing w:after="0" w:line="240" w:lineRule="auto"/>
      </w:pPr>
      <w:r>
        <w:separator/>
      </w:r>
    </w:p>
  </w:footnote>
  <w:footnote w:type="continuationSeparator" w:id="0">
    <w:p w:rsidR="00192DDC" w:rsidRDefault="00192DDC" w:rsidP="00BD1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C47" w:rsidRDefault="005C5218">
    <w:pPr>
      <w:pStyle w:val="Zhlav"/>
    </w:pPr>
    <w:r>
      <w:rPr>
        <w:noProof/>
        <w:lang w:eastAsia="cs-CZ"/>
      </w:rPr>
      <w:drawing>
        <wp:anchor distT="0" distB="0" distL="114300" distR="114300" simplePos="0" relativeHeight="251658240" behindDoc="0" locked="0" layoutInCell="1" allowOverlap="1" wp14:anchorId="05DB52A3" wp14:editId="49FDFC86">
          <wp:simplePos x="0" y="0"/>
          <wp:positionH relativeFrom="margin">
            <wp:align>center</wp:align>
          </wp:positionH>
          <wp:positionV relativeFrom="paragraph">
            <wp:posOffset>10491</wp:posOffset>
          </wp:positionV>
          <wp:extent cx="3215206" cy="1046861"/>
          <wp:effectExtent l="0" t="0" r="4445" b="127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zelená_černá.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5206" cy="1046861"/>
                  </a:xfrm>
                  <a:prstGeom prst="rect">
                    <a:avLst/>
                  </a:prstGeom>
                </pic:spPr>
              </pic:pic>
            </a:graphicData>
          </a:graphic>
          <wp14:sizeRelH relativeFrom="page">
            <wp14:pctWidth>0</wp14:pctWidth>
          </wp14:sizeRelH>
          <wp14:sizeRelV relativeFrom="page">
            <wp14:pctHeight>0</wp14:pctHeight>
          </wp14:sizeRelV>
        </wp:anchor>
      </w:drawing>
    </w:r>
  </w:p>
  <w:p w:rsidR="005E0D4D" w:rsidRDefault="005E0D4D"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r>
      <w:rPr>
        <w:noProof/>
        <w:lang w:eastAsia="cs-CZ"/>
      </w:rPr>
      <mc:AlternateContent>
        <mc:Choice Requires="wps">
          <w:drawing>
            <wp:anchor distT="0" distB="0" distL="114300" distR="114300" simplePos="0" relativeHeight="251659264" behindDoc="0" locked="0" layoutInCell="1" allowOverlap="1" wp14:anchorId="2FCD7B32" wp14:editId="78FBF0D2">
              <wp:simplePos x="0" y="0"/>
              <wp:positionH relativeFrom="margin">
                <wp:posOffset>5080</wp:posOffset>
              </wp:positionH>
              <wp:positionV relativeFrom="paragraph">
                <wp:posOffset>11100</wp:posOffset>
              </wp:positionV>
              <wp:extent cx="6085840" cy="0"/>
              <wp:effectExtent l="0" t="0" r="29210" b="19050"/>
              <wp:wrapNone/>
              <wp:docPr id="10" name="Přímá spojnice 10"/>
              <wp:cNvGraphicFramePr/>
              <a:graphic xmlns:a="http://schemas.openxmlformats.org/drawingml/2006/main">
                <a:graphicData uri="http://schemas.microsoft.com/office/word/2010/wordprocessingShape">
                  <wps:wsp>
                    <wps:cNvCnPr/>
                    <wps:spPr>
                      <a:xfrm>
                        <a:off x="0" y="0"/>
                        <a:ext cx="6085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D325D" id="Přímá spojnice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85pt" to="47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" strokecolor="black [3213]" strokeweight="1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B6217"/>
    <w:multiLevelType w:val="hybridMultilevel"/>
    <w:tmpl w:val="AE78B566"/>
    <w:lvl w:ilvl="0" w:tplc="DA2A05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A12D2D"/>
    <w:multiLevelType w:val="hybridMultilevel"/>
    <w:tmpl w:val="B1B4E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757709"/>
    <w:multiLevelType w:val="hybridMultilevel"/>
    <w:tmpl w:val="D78EEE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6CB1388"/>
    <w:multiLevelType w:val="hybridMultilevel"/>
    <w:tmpl w:val="01522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346F15"/>
    <w:multiLevelType w:val="hybridMultilevel"/>
    <w:tmpl w:val="66765ADC"/>
    <w:lvl w:ilvl="0" w:tplc="DC3C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EC36E5"/>
    <w:multiLevelType w:val="hybridMultilevel"/>
    <w:tmpl w:val="7A1E2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E7788A"/>
    <w:multiLevelType w:val="hybridMultilevel"/>
    <w:tmpl w:val="0630A78A"/>
    <w:lvl w:ilvl="0" w:tplc="51627A1C">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4A51DE"/>
    <w:multiLevelType w:val="hybridMultilevel"/>
    <w:tmpl w:val="DA5C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44540B"/>
    <w:multiLevelType w:val="hybridMultilevel"/>
    <w:tmpl w:val="04A2233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667B435F"/>
    <w:multiLevelType w:val="hybridMultilevel"/>
    <w:tmpl w:val="D8468A8A"/>
    <w:lvl w:ilvl="0" w:tplc="6D7ED632">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641730E"/>
    <w:multiLevelType w:val="hybridMultilevel"/>
    <w:tmpl w:val="07C21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045487"/>
    <w:multiLevelType w:val="hybridMultilevel"/>
    <w:tmpl w:val="284C3F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2"/>
  </w:num>
  <w:num w:numId="6">
    <w:abstractNumId w:val="6"/>
  </w:num>
  <w:num w:numId="7">
    <w:abstractNumId w:val="3"/>
  </w:num>
  <w:num w:numId="8">
    <w:abstractNumId w:val="4"/>
  </w:num>
  <w:num w:numId="9">
    <w:abstractNumId w:val="11"/>
  </w:num>
  <w:num w:numId="10">
    <w:abstractNumId w:val="5"/>
  </w:num>
  <w:num w:numId="11">
    <w:abstractNumId w:val="7"/>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41"/>
    <w:rsid w:val="000013B2"/>
    <w:rsid w:val="00002C82"/>
    <w:rsid w:val="000040E7"/>
    <w:rsid w:val="000123B6"/>
    <w:rsid w:val="000133E2"/>
    <w:rsid w:val="0001422E"/>
    <w:rsid w:val="00016317"/>
    <w:rsid w:val="000211BD"/>
    <w:rsid w:val="00021B86"/>
    <w:rsid w:val="0002332D"/>
    <w:rsid w:val="00025755"/>
    <w:rsid w:val="00031B1E"/>
    <w:rsid w:val="000332D0"/>
    <w:rsid w:val="000346D4"/>
    <w:rsid w:val="00035F8F"/>
    <w:rsid w:val="00037C5A"/>
    <w:rsid w:val="000404B4"/>
    <w:rsid w:val="00045311"/>
    <w:rsid w:val="00051DE5"/>
    <w:rsid w:val="000531E9"/>
    <w:rsid w:val="00056326"/>
    <w:rsid w:val="000635D0"/>
    <w:rsid w:val="000648EA"/>
    <w:rsid w:val="00067BC5"/>
    <w:rsid w:val="00067E8A"/>
    <w:rsid w:val="00073544"/>
    <w:rsid w:val="0007368A"/>
    <w:rsid w:val="00073E81"/>
    <w:rsid w:val="00073EE4"/>
    <w:rsid w:val="00074368"/>
    <w:rsid w:val="0007569F"/>
    <w:rsid w:val="00081B1F"/>
    <w:rsid w:val="00091891"/>
    <w:rsid w:val="00094488"/>
    <w:rsid w:val="00095192"/>
    <w:rsid w:val="000A0088"/>
    <w:rsid w:val="000A26D3"/>
    <w:rsid w:val="000A547D"/>
    <w:rsid w:val="000A76E1"/>
    <w:rsid w:val="000A7F6B"/>
    <w:rsid w:val="000B0429"/>
    <w:rsid w:val="000B255A"/>
    <w:rsid w:val="000B2A6B"/>
    <w:rsid w:val="000B5918"/>
    <w:rsid w:val="000C0B2A"/>
    <w:rsid w:val="000C3055"/>
    <w:rsid w:val="000D6C79"/>
    <w:rsid w:val="000D732A"/>
    <w:rsid w:val="000E0A8A"/>
    <w:rsid w:val="000E251F"/>
    <w:rsid w:val="000E3E46"/>
    <w:rsid w:val="000E5C0E"/>
    <w:rsid w:val="000E600F"/>
    <w:rsid w:val="000F3E7D"/>
    <w:rsid w:val="000F4E18"/>
    <w:rsid w:val="000F7928"/>
    <w:rsid w:val="001020AF"/>
    <w:rsid w:val="001028B2"/>
    <w:rsid w:val="001034DC"/>
    <w:rsid w:val="0010740B"/>
    <w:rsid w:val="00110CFC"/>
    <w:rsid w:val="00113C46"/>
    <w:rsid w:val="001237A8"/>
    <w:rsid w:val="00123BE6"/>
    <w:rsid w:val="00125118"/>
    <w:rsid w:val="00127C8D"/>
    <w:rsid w:val="00127F19"/>
    <w:rsid w:val="001301F0"/>
    <w:rsid w:val="0013104F"/>
    <w:rsid w:val="001312DC"/>
    <w:rsid w:val="00132E4F"/>
    <w:rsid w:val="00134096"/>
    <w:rsid w:val="00134F76"/>
    <w:rsid w:val="00137673"/>
    <w:rsid w:val="0014070F"/>
    <w:rsid w:val="00141F18"/>
    <w:rsid w:val="0014324D"/>
    <w:rsid w:val="00143FF6"/>
    <w:rsid w:val="00144AFD"/>
    <w:rsid w:val="00144E5D"/>
    <w:rsid w:val="00145872"/>
    <w:rsid w:val="001506B0"/>
    <w:rsid w:val="0015091D"/>
    <w:rsid w:val="00150D8D"/>
    <w:rsid w:val="0016396B"/>
    <w:rsid w:val="00175793"/>
    <w:rsid w:val="001764E6"/>
    <w:rsid w:val="0017657F"/>
    <w:rsid w:val="00176E00"/>
    <w:rsid w:val="00186AD5"/>
    <w:rsid w:val="001924BF"/>
    <w:rsid w:val="00192DDC"/>
    <w:rsid w:val="00193FEA"/>
    <w:rsid w:val="0019735A"/>
    <w:rsid w:val="001A6562"/>
    <w:rsid w:val="001B51B6"/>
    <w:rsid w:val="001C1707"/>
    <w:rsid w:val="001C2AB6"/>
    <w:rsid w:val="001D241A"/>
    <w:rsid w:val="001D5990"/>
    <w:rsid w:val="001D65A5"/>
    <w:rsid w:val="001D6BC7"/>
    <w:rsid w:val="001D7E63"/>
    <w:rsid w:val="001E1AC9"/>
    <w:rsid w:val="001E734D"/>
    <w:rsid w:val="001F0F4D"/>
    <w:rsid w:val="001F3D23"/>
    <w:rsid w:val="001F472A"/>
    <w:rsid w:val="001F7D74"/>
    <w:rsid w:val="00203DED"/>
    <w:rsid w:val="0020641D"/>
    <w:rsid w:val="00216199"/>
    <w:rsid w:val="002240A8"/>
    <w:rsid w:val="00225183"/>
    <w:rsid w:val="00225C3F"/>
    <w:rsid w:val="002273D7"/>
    <w:rsid w:val="002373A5"/>
    <w:rsid w:val="00237A26"/>
    <w:rsid w:val="002418BB"/>
    <w:rsid w:val="00242993"/>
    <w:rsid w:val="002431F4"/>
    <w:rsid w:val="00262D6A"/>
    <w:rsid w:val="00265248"/>
    <w:rsid w:val="00265503"/>
    <w:rsid w:val="00265E66"/>
    <w:rsid w:val="0027178C"/>
    <w:rsid w:val="00271A2F"/>
    <w:rsid w:val="00273057"/>
    <w:rsid w:val="00282490"/>
    <w:rsid w:val="0028315B"/>
    <w:rsid w:val="00287215"/>
    <w:rsid w:val="00293284"/>
    <w:rsid w:val="00294322"/>
    <w:rsid w:val="00296655"/>
    <w:rsid w:val="00296728"/>
    <w:rsid w:val="002A0892"/>
    <w:rsid w:val="002A14AF"/>
    <w:rsid w:val="002A32AC"/>
    <w:rsid w:val="002A37E7"/>
    <w:rsid w:val="002A5270"/>
    <w:rsid w:val="002A6E36"/>
    <w:rsid w:val="002B1C33"/>
    <w:rsid w:val="002B2DCB"/>
    <w:rsid w:val="002B46A5"/>
    <w:rsid w:val="002C13AA"/>
    <w:rsid w:val="002C4B72"/>
    <w:rsid w:val="002C5932"/>
    <w:rsid w:val="002C7288"/>
    <w:rsid w:val="002D3861"/>
    <w:rsid w:val="002E2658"/>
    <w:rsid w:val="002E3B0C"/>
    <w:rsid w:val="002F06E2"/>
    <w:rsid w:val="00300CCD"/>
    <w:rsid w:val="0031057D"/>
    <w:rsid w:val="0031372A"/>
    <w:rsid w:val="00313F7F"/>
    <w:rsid w:val="00317E4F"/>
    <w:rsid w:val="00323756"/>
    <w:rsid w:val="00324EC5"/>
    <w:rsid w:val="00325241"/>
    <w:rsid w:val="00325827"/>
    <w:rsid w:val="00333D72"/>
    <w:rsid w:val="00335625"/>
    <w:rsid w:val="00337CEC"/>
    <w:rsid w:val="00340290"/>
    <w:rsid w:val="00341961"/>
    <w:rsid w:val="00342D03"/>
    <w:rsid w:val="00342F01"/>
    <w:rsid w:val="00342F9E"/>
    <w:rsid w:val="003469B3"/>
    <w:rsid w:val="003473A8"/>
    <w:rsid w:val="00352F4E"/>
    <w:rsid w:val="00356C34"/>
    <w:rsid w:val="0036100E"/>
    <w:rsid w:val="0036282A"/>
    <w:rsid w:val="00363F21"/>
    <w:rsid w:val="003730FE"/>
    <w:rsid w:val="0038208F"/>
    <w:rsid w:val="00385DE4"/>
    <w:rsid w:val="00394A7C"/>
    <w:rsid w:val="00394DE5"/>
    <w:rsid w:val="003B1EBD"/>
    <w:rsid w:val="003C37FD"/>
    <w:rsid w:val="003C5724"/>
    <w:rsid w:val="003C7B96"/>
    <w:rsid w:val="003D06EC"/>
    <w:rsid w:val="003D3EFB"/>
    <w:rsid w:val="003E3EAD"/>
    <w:rsid w:val="003F1BCA"/>
    <w:rsid w:val="004002BE"/>
    <w:rsid w:val="00405879"/>
    <w:rsid w:val="00411DB3"/>
    <w:rsid w:val="00415D27"/>
    <w:rsid w:val="00416E1C"/>
    <w:rsid w:val="00421E54"/>
    <w:rsid w:val="00423C98"/>
    <w:rsid w:val="00423CA8"/>
    <w:rsid w:val="004246C1"/>
    <w:rsid w:val="0043502C"/>
    <w:rsid w:val="00435B48"/>
    <w:rsid w:val="00436B4E"/>
    <w:rsid w:val="00440E61"/>
    <w:rsid w:val="00443BAB"/>
    <w:rsid w:val="00443DC4"/>
    <w:rsid w:val="0044672A"/>
    <w:rsid w:val="00446B1D"/>
    <w:rsid w:val="004477FF"/>
    <w:rsid w:val="00453086"/>
    <w:rsid w:val="004530C2"/>
    <w:rsid w:val="004552AC"/>
    <w:rsid w:val="00455D9E"/>
    <w:rsid w:val="004571F2"/>
    <w:rsid w:val="00460868"/>
    <w:rsid w:val="00463A46"/>
    <w:rsid w:val="00464E80"/>
    <w:rsid w:val="00466541"/>
    <w:rsid w:val="00470B03"/>
    <w:rsid w:val="00475685"/>
    <w:rsid w:val="00477D8F"/>
    <w:rsid w:val="00480908"/>
    <w:rsid w:val="00485BAE"/>
    <w:rsid w:val="00491B89"/>
    <w:rsid w:val="00492DE0"/>
    <w:rsid w:val="0049643A"/>
    <w:rsid w:val="004A0FC4"/>
    <w:rsid w:val="004A1F2C"/>
    <w:rsid w:val="004A2E21"/>
    <w:rsid w:val="004B026F"/>
    <w:rsid w:val="004B162B"/>
    <w:rsid w:val="004B21C9"/>
    <w:rsid w:val="004B2D88"/>
    <w:rsid w:val="004B4CBF"/>
    <w:rsid w:val="004B7FF6"/>
    <w:rsid w:val="004C15FD"/>
    <w:rsid w:val="004C33F9"/>
    <w:rsid w:val="004C569C"/>
    <w:rsid w:val="004C74BD"/>
    <w:rsid w:val="004D0471"/>
    <w:rsid w:val="004D06E4"/>
    <w:rsid w:val="004D4DD0"/>
    <w:rsid w:val="004E0483"/>
    <w:rsid w:val="004E0646"/>
    <w:rsid w:val="004E2DF0"/>
    <w:rsid w:val="004E59FB"/>
    <w:rsid w:val="004E5E15"/>
    <w:rsid w:val="004E6CD7"/>
    <w:rsid w:val="004E6FAF"/>
    <w:rsid w:val="004F161B"/>
    <w:rsid w:val="004F2AFF"/>
    <w:rsid w:val="004F69EF"/>
    <w:rsid w:val="005026D2"/>
    <w:rsid w:val="0050605D"/>
    <w:rsid w:val="00507AAC"/>
    <w:rsid w:val="005103B5"/>
    <w:rsid w:val="00513D4B"/>
    <w:rsid w:val="00522A9F"/>
    <w:rsid w:val="00527E0C"/>
    <w:rsid w:val="00532D10"/>
    <w:rsid w:val="00547B96"/>
    <w:rsid w:val="0056061B"/>
    <w:rsid w:val="005630A7"/>
    <w:rsid w:val="00566C47"/>
    <w:rsid w:val="00567843"/>
    <w:rsid w:val="005679AB"/>
    <w:rsid w:val="00570B09"/>
    <w:rsid w:val="00571105"/>
    <w:rsid w:val="0057264D"/>
    <w:rsid w:val="00577C97"/>
    <w:rsid w:val="00581ECF"/>
    <w:rsid w:val="00582081"/>
    <w:rsid w:val="00584BE5"/>
    <w:rsid w:val="00584E09"/>
    <w:rsid w:val="00585A73"/>
    <w:rsid w:val="0058776A"/>
    <w:rsid w:val="005915CE"/>
    <w:rsid w:val="00591AE1"/>
    <w:rsid w:val="00591FEE"/>
    <w:rsid w:val="00594DA9"/>
    <w:rsid w:val="005954ED"/>
    <w:rsid w:val="005A12C2"/>
    <w:rsid w:val="005A15DB"/>
    <w:rsid w:val="005A21D2"/>
    <w:rsid w:val="005A243C"/>
    <w:rsid w:val="005A3600"/>
    <w:rsid w:val="005A5271"/>
    <w:rsid w:val="005A70ED"/>
    <w:rsid w:val="005A7628"/>
    <w:rsid w:val="005B07FE"/>
    <w:rsid w:val="005B080F"/>
    <w:rsid w:val="005B1801"/>
    <w:rsid w:val="005C3A62"/>
    <w:rsid w:val="005C5218"/>
    <w:rsid w:val="005C785B"/>
    <w:rsid w:val="005D21A5"/>
    <w:rsid w:val="005D3C11"/>
    <w:rsid w:val="005D4DC3"/>
    <w:rsid w:val="005D6344"/>
    <w:rsid w:val="005D7243"/>
    <w:rsid w:val="005E0D4D"/>
    <w:rsid w:val="005E5E99"/>
    <w:rsid w:val="005E7560"/>
    <w:rsid w:val="005F42A1"/>
    <w:rsid w:val="005F7E8D"/>
    <w:rsid w:val="0060025F"/>
    <w:rsid w:val="006015B0"/>
    <w:rsid w:val="006035AC"/>
    <w:rsid w:val="006058F6"/>
    <w:rsid w:val="00606B9D"/>
    <w:rsid w:val="00611B5F"/>
    <w:rsid w:val="00611E91"/>
    <w:rsid w:val="00616813"/>
    <w:rsid w:val="00625EED"/>
    <w:rsid w:val="00631E1A"/>
    <w:rsid w:val="00633970"/>
    <w:rsid w:val="00634231"/>
    <w:rsid w:val="00635AE3"/>
    <w:rsid w:val="00642FB9"/>
    <w:rsid w:val="00645CFF"/>
    <w:rsid w:val="00650B03"/>
    <w:rsid w:val="00652D6B"/>
    <w:rsid w:val="00654368"/>
    <w:rsid w:val="00656F3E"/>
    <w:rsid w:val="00657226"/>
    <w:rsid w:val="00665634"/>
    <w:rsid w:val="00665A66"/>
    <w:rsid w:val="0067308A"/>
    <w:rsid w:val="00680122"/>
    <w:rsid w:val="006816D0"/>
    <w:rsid w:val="00681FDB"/>
    <w:rsid w:val="00682CA0"/>
    <w:rsid w:val="0068369C"/>
    <w:rsid w:val="0068376B"/>
    <w:rsid w:val="00684827"/>
    <w:rsid w:val="00684909"/>
    <w:rsid w:val="00693136"/>
    <w:rsid w:val="00693DA9"/>
    <w:rsid w:val="00693E7F"/>
    <w:rsid w:val="006957C6"/>
    <w:rsid w:val="0069643E"/>
    <w:rsid w:val="00697C55"/>
    <w:rsid w:val="006A0EEF"/>
    <w:rsid w:val="006A23C0"/>
    <w:rsid w:val="006A312C"/>
    <w:rsid w:val="006A3522"/>
    <w:rsid w:val="006B1B96"/>
    <w:rsid w:val="006B1F1C"/>
    <w:rsid w:val="006C031E"/>
    <w:rsid w:val="006C6B05"/>
    <w:rsid w:val="006D0E90"/>
    <w:rsid w:val="006D1D8E"/>
    <w:rsid w:val="006D6761"/>
    <w:rsid w:val="006E15B3"/>
    <w:rsid w:val="006E1DCC"/>
    <w:rsid w:val="006E48E4"/>
    <w:rsid w:val="006F19BE"/>
    <w:rsid w:val="006F5F30"/>
    <w:rsid w:val="007053C0"/>
    <w:rsid w:val="007107B0"/>
    <w:rsid w:val="00711278"/>
    <w:rsid w:val="007204EC"/>
    <w:rsid w:val="00740790"/>
    <w:rsid w:val="00743EDD"/>
    <w:rsid w:val="007444BB"/>
    <w:rsid w:val="00747552"/>
    <w:rsid w:val="00750901"/>
    <w:rsid w:val="0076161B"/>
    <w:rsid w:val="007671CF"/>
    <w:rsid w:val="00767CCD"/>
    <w:rsid w:val="007700B0"/>
    <w:rsid w:val="007748D0"/>
    <w:rsid w:val="00775665"/>
    <w:rsid w:val="00781B93"/>
    <w:rsid w:val="00783D1A"/>
    <w:rsid w:val="0078472E"/>
    <w:rsid w:val="007925FB"/>
    <w:rsid w:val="007A2CF8"/>
    <w:rsid w:val="007C0A19"/>
    <w:rsid w:val="007C24CE"/>
    <w:rsid w:val="007C46CD"/>
    <w:rsid w:val="007D0FE6"/>
    <w:rsid w:val="007D27C5"/>
    <w:rsid w:val="007D2A18"/>
    <w:rsid w:val="007D3C16"/>
    <w:rsid w:val="007D7066"/>
    <w:rsid w:val="007E0C08"/>
    <w:rsid w:val="007E346D"/>
    <w:rsid w:val="007E47E8"/>
    <w:rsid w:val="007F0E4A"/>
    <w:rsid w:val="007F2CA0"/>
    <w:rsid w:val="007F3B30"/>
    <w:rsid w:val="007F525C"/>
    <w:rsid w:val="0080005A"/>
    <w:rsid w:val="0080079C"/>
    <w:rsid w:val="00801364"/>
    <w:rsid w:val="0080153A"/>
    <w:rsid w:val="008016E9"/>
    <w:rsid w:val="00810CA6"/>
    <w:rsid w:val="008124CD"/>
    <w:rsid w:val="0081693E"/>
    <w:rsid w:val="00822FBC"/>
    <w:rsid w:val="008261C2"/>
    <w:rsid w:val="00831185"/>
    <w:rsid w:val="008354C4"/>
    <w:rsid w:val="008400BA"/>
    <w:rsid w:val="008418E7"/>
    <w:rsid w:val="00843559"/>
    <w:rsid w:val="00843727"/>
    <w:rsid w:val="00846DF8"/>
    <w:rsid w:val="008470EF"/>
    <w:rsid w:val="008514C1"/>
    <w:rsid w:val="00853250"/>
    <w:rsid w:val="00854610"/>
    <w:rsid w:val="0085706E"/>
    <w:rsid w:val="00864D66"/>
    <w:rsid w:val="00867799"/>
    <w:rsid w:val="0087117D"/>
    <w:rsid w:val="0087398F"/>
    <w:rsid w:val="00880D83"/>
    <w:rsid w:val="00883DFE"/>
    <w:rsid w:val="00893304"/>
    <w:rsid w:val="008933C1"/>
    <w:rsid w:val="00894572"/>
    <w:rsid w:val="008A655B"/>
    <w:rsid w:val="008A6D30"/>
    <w:rsid w:val="008A6E6D"/>
    <w:rsid w:val="008B17A5"/>
    <w:rsid w:val="008B5149"/>
    <w:rsid w:val="008C0C7D"/>
    <w:rsid w:val="008C1652"/>
    <w:rsid w:val="008C2E17"/>
    <w:rsid w:val="008C3A10"/>
    <w:rsid w:val="008D0B77"/>
    <w:rsid w:val="008D37EE"/>
    <w:rsid w:val="008D6DA6"/>
    <w:rsid w:val="008D7C82"/>
    <w:rsid w:val="008D7DE2"/>
    <w:rsid w:val="008D7EF6"/>
    <w:rsid w:val="008D7F82"/>
    <w:rsid w:val="008E0F96"/>
    <w:rsid w:val="008F3F13"/>
    <w:rsid w:val="008F6DB9"/>
    <w:rsid w:val="00900259"/>
    <w:rsid w:val="0090203C"/>
    <w:rsid w:val="00902E1F"/>
    <w:rsid w:val="00913F65"/>
    <w:rsid w:val="00917D46"/>
    <w:rsid w:val="00922D97"/>
    <w:rsid w:val="00924356"/>
    <w:rsid w:val="009261A0"/>
    <w:rsid w:val="00931320"/>
    <w:rsid w:val="00932C4C"/>
    <w:rsid w:val="009430FC"/>
    <w:rsid w:val="00943216"/>
    <w:rsid w:val="00944EC6"/>
    <w:rsid w:val="00945979"/>
    <w:rsid w:val="00945DE8"/>
    <w:rsid w:val="009551E4"/>
    <w:rsid w:val="0095521C"/>
    <w:rsid w:val="009554D2"/>
    <w:rsid w:val="00965878"/>
    <w:rsid w:val="009816D1"/>
    <w:rsid w:val="00984724"/>
    <w:rsid w:val="009863CB"/>
    <w:rsid w:val="0099035D"/>
    <w:rsid w:val="009932EC"/>
    <w:rsid w:val="009967EF"/>
    <w:rsid w:val="0099718C"/>
    <w:rsid w:val="009B7EED"/>
    <w:rsid w:val="009C2057"/>
    <w:rsid w:val="009C7288"/>
    <w:rsid w:val="009D2022"/>
    <w:rsid w:val="009D4DB7"/>
    <w:rsid w:val="009D6512"/>
    <w:rsid w:val="009D724F"/>
    <w:rsid w:val="009E16CA"/>
    <w:rsid w:val="009E2698"/>
    <w:rsid w:val="009E7687"/>
    <w:rsid w:val="009E7CAE"/>
    <w:rsid w:val="009E7F94"/>
    <w:rsid w:val="009F37A1"/>
    <w:rsid w:val="009F3A63"/>
    <w:rsid w:val="009F4969"/>
    <w:rsid w:val="009F4A1B"/>
    <w:rsid w:val="009F6081"/>
    <w:rsid w:val="009F692F"/>
    <w:rsid w:val="009F6DA9"/>
    <w:rsid w:val="00A01638"/>
    <w:rsid w:val="00A017EE"/>
    <w:rsid w:val="00A03D1B"/>
    <w:rsid w:val="00A05254"/>
    <w:rsid w:val="00A1021D"/>
    <w:rsid w:val="00A10720"/>
    <w:rsid w:val="00A16D90"/>
    <w:rsid w:val="00A174DD"/>
    <w:rsid w:val="00A235D9"/>
    <w:rsid w:val="00A26F29"/>
    <w:rsid w:val="00A31932"/>
    <w:rsid w:val="00A331D3"/>
    <w:rsid w:val="00A36856"/>
    <w:rsid w:val="00A40326"/>
    <w:rsid w:val="00A43009"/>
    <w:rsid w:val="00A44364"/>
    <w:rsid w:val="00A44899"/>
    <w:rsid w:val="00A449E2"/>
    <w:rsid w:val="00A4550B"/>
    <w:rsid w:val="00A46600"/>
    <w:rsid w:val="00A539F6"/>
    <w:rsid w:val="00A55B21"/>
    <w:rsid w:val="00A63EC4"/>
    <w:rsid w:val="00A6464A"/>
    <w:rsid w:val="00A66881"/>
    <w:rsid w:val="00A72622"/>
    <w:rsid w:val="00A75D5F"/>
    <w:rsid w:val="00A8076B"/>
    <w:rsid w:val="00A80F38"/>
    <w:rsid w:val="00A85AE1"/>
    <w:rsid w:val="00A96061"/>
    <w:rsid w:val="00A96225"/>
    <w:rsid w:val="00A977E9"/>
    <w:rsid w:val="00AA0072"/>
    <w:rsid w:val="00AA2953"/>
    <w:rsid w:val="00AA4B87"/>
    <w:rsid w:val="00AA531C"/>
    <w:rsid w:val="00AA6717"/>
    <w:rsid w:val="00AA79DD"/>
    <w:rsid w:val="00AB011A"/>
    <w:rsid w:val="00AB240D"/>
    <w:rsid w:val="00AB3DE1"/>
    <w:rsid w:val="00AC0D82"/>
    <w:rsid w:val="00AC4662"/>
    <w:rsid w:val="00AC5034"/>
    <w:rsid w:val="00AC7817"/>
    <w:rsid w:val="00AD10E5"/>
    <w:rsid w:val="00AD144B"/>
    <w:rsid w:val="00AD3EB5"/>
    <w:rsid w:val="00AD548A"/>
    <w:rsid w:val="00AD79D4"/>
    <w:rsid w:val="00AE11AD"/>
    <w:rsid w:val="00AF0B05"/>
    <w:rsid w:val="00AF2A54"/>
    <w:rsid w:val="00AF3281"/>
    <w:rsid w:val="00B000F5"/>
    <w:rsid w:val="00B01642"/>
    <w:rsid w:val="00B02F0C"/>
    <w:rsid w:val="00B02F67"/>
    <w:rsid w:val="00B036A1"/>
    <w:rsid w:val="00B0674A"/>
    <w:rsid w:val="00B1247A"/>
    <w:rsid w:val="00B16537"/>
    <w:rsid w:val="00B16B0C"/>
    <w:rsid w:val="00B20436"/>
    <w:rsid w:val="00B22942"/>
    <w:rsid w:val="00B26402"/>
    <w:rsid w:val="00B26A56"/>
    <w:rsid w:val="00B31CFC"/>
    <w:rsid w:val="00B342CD"/>
    <w:rsid w:val="00B43928"/>
    <w:rsid w:val="00B45230"/>
    <w:rsid w:val="00B46962"/>
    <w:rsid w:val="00B5251A"/>
    <w:rsid w:val="00B53833"/>
    <w:rsid w:val="00B54CC6"/>
    <w:rsid w:val="00B55622"/>
    <w:rsid w:val="00B6100A"/>
    <w:rsid w:val="00B62049"/>
    <w:rsid w:val="00B62A86"/>
    <w:rsid w:val="00B73322"/>
    <w:rsid w:val="00B809C2"/>
    <w:rsid w:val="00B822B6"/>
    <w:rsid w:val="00B82DDC"/>
    <w:rsid w:val="00B82F82"/>
    <w:rsid w:val="00B83B4B"/>
    <w:rsid w:val="00B911A9"/>
    <w:rsid w:val="00B9441D"/>
    <w:rsid w:val="00B971D5"/>
    <w:rsid w:val="00BA0B69"/>
    <w:rsid w:val="00BA21C4"/>
    <w:rsid w:val="00BA283C"/>
    <w:rsid w:val="00BA3321"/>
    <w:rsid w:val="00BA5044"/>
    <w:rsid w:val="00BA686B"/>
    <w:rsid w:val="00BB029A"/>
    <w:rsid w:val="00BB0967"/>
    <w:rsid w:val="00BB0C4D"/>
    <w:rsid w:val="00BB36C2"/>
    <w:rsid w:val="00BC094E"/>
    <w:rsid w:val="00BC6B85"/>
    <w:rsid w:val="00BC742A"/>
    <w:rsid w:val="00BD1C47"/>
    <w:rsid w:val="00BD5597"/>
    <w:rsid w:val="00BD596D"/>
    <w:rsid w:val="00BE178F"/>
    <w:rsid w:val="00BE2307"/>
    <w:rsid w:val="00BE4E38"/>
    <w:rsid w:val="00BE6411"/>
    <w:rsid w:val="00BE7425"/>
    <w:rsid w:val="00BF06F4"/>
    <w:rsid w:val="00BF1550"/>
    <w:rsid w:val="00BF4243"/>
    <w:rsid w:val="00BF6711"/>
    <w:rsid w:val="00BF7DCF"/>
    <w:rsid w:val="00C00527"/>
    <w:rsid w:val="00C04F7F"/>
    <w:rsid w:val="00C05AB7"/>
    <w:rsid w:val="00C079B0"/>
    <w:rsid w:val="00C07DF8"/>
    <w:rsid w:val="00C12DF0"/>
    <w:rsid w:val="00C164F0"/>
    <w:rsid w:val="00C1673F"/>
    <w:rsid w:val="00C21876"/>
    <w:rsid w:val="00C43E2B"/>
    <w:rsid w:val="00C45590"/>
    <w:rsid w:val="00C50F83"/>
    <w:rsid w:val="00C547CD"/>
    <w:rsid w:val="00C54EC7"/>
    <w:rsid w:val="00C55594"/>
    <w:rsid w:val="00C556CA"/>
    <w:rsid w:val="00C61B5F"/>
    <w:rsid w:val="00C655D0"/>
    <w:rsid w:val="00C670F0"/>
    <w:rsid w:val="00C713A3"/>
    <w:rsid w:val="00C741A0"/>
    <w:rsid w:val="00C7671A"/>
    <w:rsid w:val="00C80AFB"/>
    <w:rsid w:val="00C814F9"/>
    <w:rsid w:val="00C84124"/>
    <w:rsid w:val="00C86102"/>
    <w:rsid w:val="00C92FB6"/>
    <w:rsid w:val="00C9605A"/>
    <w:rsid w:val="00C96C11"/>
    <w:rsid w:val="00C97E6A"/>
    <w:rsid w:val="00CA1B91"/>
    <w:rsid w:val="00CB3C51"/>
    <w:rsid w:val="00CC14CE"/>
    <w:rsid w:val="00CC1707"/>
    <w:rsid w:val="00CC47AA"/>
    <w:rsid w:val="00CD0437"/>
    <w:rsid w:val="00CD2125"/>
    <w:rsid w:val="00CD4585"/>
    <w:rsid w:val="00CD60DD"/>
    <w:rsid w:val="00CE1097"/>
    <w:rsid w:val="00CE12E1"/>
    <w:rsid w:val="00CE27CF"/>
    <w:rsid w:val="00CF0017"/>
    <w:rsid w:val="00CF0E73"/>
    <w:rsid w:val="00CF338C"/>
    <w:rsid w:val="00CF39E8"/>
    <w:rsid w:val="00CF545B"/>
    <w:rsid w:val="00CF64D7"/>
    <w:rsid w:val="00D00F25"/>
    <w:rsid w:val="00D0483A"/>
    <w:rsid w:val="00D07A4F"/>
    <w:rsid w:val="00D12330"/>
    <w:rsid w:val="00D16D91"/>
    <w:rsid w:val="00D16E99"/>
    <w:rsid w:val="00D16EF4"/>
    <w:rsid w:val="00D20FEC"/>
    <w:rsid w:val="00D218AD"/>
    <w:rsid w:val="00D240B3"/>
    <w:rsid w:val="00D27E0D"/>
    <w:rsid w:val="00D27EAD"/>
    <w:rsid w:val="00D306F6"/>
    <w:rsid w:val="00D319D5"/>
    <w:rsid w:val="00D35800"/>
    <w:rsid w:val="00D45068"/>
    <w:rsid w:val="00D47947"/>
    <w:rsid w:val="00D500A0"/>
    <w:rsid w:val="00D5678F"/>
    <w:rsid w:val="00D578A3"/>
    <w:rsid w:val="00D63301"/>
    <w:rsid w:val="00D63DD8"/>
    <w:rsid w:val="00D64520"/>
    <w:rsid w:val="00D72089"/>
    <w:rsid w:val="00D72E99"/>
    <w:rsid w:val="00D8686B"/>
    <w:rsid w:val="00D91102"/>
    <w:rsid w:val="00DA1DAD"/>
    <w:rsid w:val="00DA23A6"/>
    <w:rsid w:val="00DA2669"/>
    <w:rsid w:val="00DA6C61"/>
    <w:rsid w:val="00DB2F80"/>
    <w:rsid w:val="00DB5A88"/>
    <w:rsid w:val="00DB629A"/>
    <w:rsid w:val="00DD2985"/>
    <w:rsid w:val="00DD44F6"/>
    <w:rsid w:val="00DD6337"/>
    <w:rsid w:val="00DE0936"/>
    <w:rsid w:val="00DE1630"/>
    <w:rsid w:val="00DE4C5B"/>
    <w:rsid w:val="00DE74C6"/>
    <w:rsid w:val="00DF164C"/>
    <w:rsid w:val="00DF1A41"/>
    <w:rsid w:val="00DF20FB"/>
    <w:rsid w:val="00DF6255"/>
    <w:rsid w:val="00DF6CA3"/>
    <w:rsid w:val="00E02ED6"/>
    <w:rsid w:val="00E035EC"/>
    <w:rsid w:val="00E06990"/>
    <w:rsid w:val="00E12F81"/>
    <w:rsid w:val="00E14E45"/>
    <w:rsid w:val="00E175D6"/>
    <w:rsid w:val="00E21F8F"/>
    <w:rsid w:val="00E2346C"/>
    <w:rsid w:val="00E24337"/>
    <w:rsid w:val="00E2665F"/>
    <w:rsid w:val="00E300C2"/>
    <w:rsid w:val="00E305E9"/>
    <w:rsid w:val="00E315F6"/>
    <w:rsid w:val="00E33035"/>
    <w:rsid w:val="00E35043"/>
    <w:rsid w:val="00E368ED"/>
    <w:rsid w:val="00E373F7"/>
    <w:rsid w:val="00E466F7"/>
    <w:rsid w:val="00E52690"/>
    <w:rsid w:val="00E53087"/>
    <w:rsid w:val="00E57F29"/>
    <w:rsid w:val="00E623C8"/>
    <w:rsid w:val="00E65BD0"/>
    <w:rsid w:val="00E726A0"/>
    <w:rsid w:val="00E730A4"/>
    <w:rsid w:val="00E77652"/>
    <w:rsid w:val="00E828E1"/>
    <w:rsid w:val="00E829CD"/>
    <w:rsid w:val="00E976A9"/>
    <w:rsid w:val="00EA201D"/>
    <w:rsid w:val="00EA3A70"/>
    <w:rsid w:val="00EB2D7B"/>
    <w:rsid w:val="00EB42EA"/>
    <w:rsid w:val="00EB69ED"/>
    <w:rsid w:val="00EC2A7E"/>
    <w:rsid w:val="00EC37DB"/>
    <w:rsid w:val="00EC3CAB"/>
    <w:rsid w:val="00EC6915"/>
    <w:rsid w:val="00EC6D86"/>
    <w:rsid w:val="00ED2771"/>
    <w:rsid w:val="00ED403C"/>
    <w:rsid w:val="00ED42C7"/>
    <w:rsid w:val="00ED5007"/>
    <w:rsid w:val="00ED5A72"/>
    <w:rsid w:val="00ED64D1"/>
    <w:rsid w:val="00ED7804"/>
    <w:rsid w:val="00EE1D2A"/>
    <w:rsid w:val="00EF0943"/>
    <w:rsid w:val="00EF0C4B"/>
    <w:rsid w:val="00EF2F30"/>
    <w:rsid w:val="00EF699B"/>
    <w:rsid w:val="00F03C14"/>
    <w:rsid w:val="00F04B3F"/>
    <w:rsid w:val="00F06D6F"/>
    <w:rsid w:val="00F07310"/>
    <w:rsid w:val="00F15DA0"/>
    <w:rsid w:val="00F15F85"/>
    <w:rsid w:val="00F17319"/>
    <w:rsid w:val="00F174B3"/>
    <w:rsid w:val="00F17573"/>
    <w:rsid w:val="00F226CF"/>
    <w:rsid w:val="00F30E36"/>
    <w:rsid w:val="00F33501"/>
    <w:rsid w:val="00F354C7"/>
    <w:rsid w:val="00F43F98"/>
    <w:rsid w:val="00F444CD"/>
    <w:rsid w:val="00F44534"/>
    <w:rsid w:val="00F45CC3"/>
    <w:rsid w:val="00F46031"/>
    <w:rsid w:val="00F4643B"/>
    <w:rsid w:val="00F47172"/>
    <w:rsid w:val="00F52474"/>
    <w:rsid w:val="00F53661"/>
    <w:rsid w:val="00F54F78"/>
    <w:rsid w:val="00F554A7"/>
    <w:rsid w:val="00F63D18"/>
    <w:rsid w:val="00F70255"/>
    <w:rsid w:val="00F7246F"/>
    <w:rsid w:val="00F817EF"/>
    <w:rsid w:val="00F91705"/>
    <w:rsid w:val="00F921F5"/>
    <w:rsid w:val="00F94768"/>
    <w:rsid w:val="00F9610D"/>
    <w:rsid w:val="00F96C9A"/>
    <w:rsid w:val="00FA15D5"/>
    <w:rsid w:val="00FA206D"/>
    <w:rsid w:val="00FA2740"/>
    <w:rsid w:val="00FA3BF4"/>
    <w:rsid w:val="00FA6388"/>
    <w:rsid w:val="00FB2717"/>
    <w:rsid w:val="00FB5C9C"/>
    <w:rsid w:val="00FB684E"/>
    <w:rsid w:val="00FB6FB0"/>
    <w:rsid w:val="00FC2D5D"/>
    <w:rsid w:val="00FD0CA9"/>
    <w:rsid w:val="00FD2F32"/>
    <w:rsid w:val="00FD51B1"/>
    <w:rsid w:val="00FD6335"/>
    <w:rsid w:val="00FD7C4B"/>
    <w:rsid w:val="00FE3291"/>
    <w:rsid w:val="00FE5990"/>
    <w:rsid w:val="00FF0493"/>
    <w:rsid w:val="00FF3AEA"/>
    <w:rsid w:val="00FF4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71F00F-AD11-4B7D-9529-EC296158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3DE1"/>
    <w:pPr>
      <w:spacing w:after="200" w:line="276" w:lineRule="auto"/>
    </w:pPr>
  </w:style>
  <w:style w:type="paragraph" w:styleId="Nadpis1">
    <w:name w:val="heading 1"/>
    <w:basedOn w:val="Normln"/>
    <w:next w:val="Normln"/>
    <w:link w:val="Nadpis1Char"/>
    <w:uiPriority w:val="9"/>
    <w:qFormat/>
    <w:rsid w:val="00242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autoRedefine/>
    <w:uiPriority w:val="9"/>
    <w:unhideWhenUsed/>
    <w:qFormat/>
    <w:rsid w:val="00FF0493"/>
    <w:pPr>
      <w:keepNext/>
      <w:keepLines/>
      <w:spacing w:before="200" w:after="0" w:line="480" w:lineRule="auto"/>
      <w:outlineLvl w:val="1"/>
    </w:pPr>
    <w:rPr>
      <w:rFonts w:ascii="Times New Roman" w:eastAsia="Times New Roman" w:hAnsi="Times New Roman" w:cs="Times New Roman"/>
      <w:b/>
      <w:bCs/>
      <w:sz w:val="24"/>
      <w:szCs w:val="24"/>
      <w:lang w:val="x-none"/>
    </w:rPr>
  </w:style>
  <w:style w:type="paragraph" w:styleId="Nadpis3">
    <w:name w:val="heading 3"/>
    <w:basedOn w:val="Normln"/>
    <w:next w:val="Normln"/>
    <w:link w:val="Nadpis3Char"/>
    <w:uiPriority w:val="9"/>
    <w:semiHidden/>
    <w:unhideWhenUsed/>
    <w:qFormat/>
    <w:rsid w:val="00E330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AB3DE1"/>
    <w:pPr>
      <w:spacing w:after="120" w:line="240" w:lineRule="auto"/>
      <w:ind w:left="283"/>
    </w:pPr>
    <w:rPr>
      <w:rFonts w:ascii="Times New Roman" w:eastAsia="Times New Roman" w:hAnsi="Times New Roman" w:cs="Times New Roman"/>
      <w:noProof/>
      <w:sz w:val="24"/>
      <w:szCs w:val="20"/>
    </w:rPr>
  </w:style>
  <w:style w:type="character" w:customStyle="1" w:styleId="ZkladntextodsazenChar">
    <w:name w:val="Základní text odsazený Char"/>
    <w:basedOn w:val="Standardnpsmoodstavce"/>
    <w:link w:val="Zkladntextodsazen"/>
    <w:rsid w:val="00AB3DE1"/>
    <w:rPr>
      <w:rFonts w:ascii="Times New Roman" w:eastAsia="Times New Roman" w:hAnsi="Times New Roman" w:cs="Times New Roman"/>
      <w:noProof/>
      <w:sz w:val="24"/>
      <w:szCs w:val="20"/>
    </w:rPr>
  </w:style>
  <w:style w:type="paragraph" w:customStyle="1" w:styleId="NadpisIII">
    <w:name w:val="Nadpis III"/>
    <w:basedOn w:val="Normln"/>
    <w:next w:val="Normln"/>
    <w:rsid w:val="00AB3DE1"/>
    <w:pPr>
      <w:spacing w:after="0" w:line="240" w:lineRule="auto"/>
    </w:pPr>
    <w:rPr>
      <w:rFonts w:ascii="Times New Roman" w:eastAsia="Times New Roman" w:hAnsi="Times New Roman" w:cs="Times New Roman"/>
      <w:b/>
      <w:noProof/>
      <w:sz w:val="24"/>
      <w:szCs w:val="20"/>
      <w:lang w:eastAsia="cs-CZ"/>
    </w:rPr>
  </w:style>
  <w:style w:type="character" w:styleId="Hypertextovodkaz">
    <w:name w:val="Hyperlink"/>
    <w:basedOn w:val="Standardnpsmoodstavce"/>
    <w:uiPriority w:val="99"/>
    <w:unhideWhenUsed/>
    <w:rsid w:val="00AB3DE1"/>
    <w:rPr>
      <w:color w:val="0563C1" w:themeColor="hyperlink"/>
      <w:u w:val="single"/>
    </w:rPr>
  </w:style>
  <w:style w:type="character" w:styleId="Odkaznakoment">
    <w:name w:val="annotation reference"/>
    <w:basedOn w:val="Standardnpsmoodstavce"/>
    <w:uiPriority w:val="99"/>
    <w:semiHidden/>
    <w:unhideWhenUsed/>
    <w:rsid w:val="00AB3DE1"/>
    <w:rPr>
      <w:sz w:val="16"/>
      <w:szCs w:val="16"/>
    </w:rPr>
  </w:style>
  <w:style w:type="paragraph" w:styleId="Textkomente">
    <w:name w:val="annotation text"/>
    <w:basedOn w:val="Normln"/>
    <w:link w:val="TextkomenteChar"/>
    <w:uiPriority w:val="99"/>
    <w:semiHidden/>
    <w:unhideWhenUsed/>
    <w:rsid w:val="00AB3DE1"/>
    <w:pPr>
      <w:spacing w:line="240" w:lineRule="auto"/>
    </w:pPr>
    <w:rPr>
      <w:sz w:val="20"/>
      <w:szCs w:val="20"/>
    </w:rPr>
  </w:style>
  <w:style w:type="character" w:customStyle="1" w:styleId="TextkomenteChar">
    <w:name w:val="Text komentáře Char"/>
    <w:basedOn w:val="Standardnpsmoodstavce"/>
    <w:link w:val="Textkomente"/>
    <w:uiPriority w:val="99"/>
    <w:semiHidden/>
    <w:rsid w:val="00AB3DE1"/>
    <w:rPr>
      <w:sz w:val="20"/>
      <w:szCs w:val="20"/>
    </w:rPr>
  </w:style>
  <w:style w:type="paragraph" w:styleId="Textbubliny">
    <w:name w:val="Balloon Text"/>
    <w:basedOn w:val="Normln"/>
    <w:link w:val="TextbublinyChar"/>
    <w:uiPriority w:val="99"/>
    <w:semiHidden/>
    <w:unhideWhenUsed/>
    <w:rsid w:val="00AB3D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DE1"/>
    <w:rPr>
      <w:rFonts w:ascii="Segoe UI" w:hAnsi="Segoe UI" w:cs="Segoe UI"/>
      <w:sz w:val="18"/>
      <w:szCs w:val="18"/>
    </w:rPr>
  </w:style>
  <w:style w:type="paragraph" w:styleId="Zhlav">
    <w:name w:val="header"/>
    <w:basedOn w:val="Normln"/>
    <w:link w:val="ZhlavChar"/>
    <w:unhideWhenUsed/>
    <w:rsid w:val="00BD1C47"/>
    <w:pPr>
      <w:tabs>
        <w:tab w:val="center" w:pos="4536"/>
        <w:tab w:val="right" w:pos="9072"/>
      </w:tabs>
      <w:spacing w:after="0" w:line="240" w:lineRule="auto"/>
    </w:pPr>
  </w:style>
  <w:style w:type="character" w:customStyle="1" w:styleId="ZhlavChar">
    <w:name w:val="Záhlaví Char"/>
    <w:basedOn w:val="Standardnpsmoodstavce"/>
    <w:link w:val="Zhlav"/>
    <w:rsid w:val="00BD1C47"/>
  </w:style>
  <w:style w:type="paragraph" w:styleId="Zpat">
    <w:name w:val="footer"/>
    <w:basedOn w:val="Normln"/>
    <w:link w:val="ZpatChar"/>
    <w:uiPriority w:val="99"/>
    <w:unhideWhenUsed/>
    <w:rsid w:val="00BD1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BD1C47"/>
  </w:style>
  <w:style w:type="paragraph" w:styleId="Normlnweb">
    <w:name w:val="Normal (Web)"/>
    <w:basedOn w:val="Normln"/>
    <w:uiPriority w:val="99"/>
    <w:unhideWhenUsed/>
    <w:rsid w:val="001034D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1034DC"/>
  </w:style>
  <w:style w:type="paragraph" w:styleId="Odstavecseseznamem">
    <w:name w:val="List Paragraph"/>
    <w:basedOn w:val="Normln"/>
    <w:uiPriority w:val="34"/>
    <w:qFormat/>
    <w:rsid w:val="0099718C"/>
    <w:pPr>
      <w:ind w:left="720"/>
      <w:contextualSpacing/>
    </w:pPr>
  </w:style>
  <w:style w:type="character" w:styleId="Zdraznn">
    <w:name w:val="Emphasis"/>
    <w:basedOn w:val="Standardnpsmoodstavce"/>
    <w:uiPriority w:val="20"/>
    <w:qFormat/>
    <w:rsid w:val="00F444CD"/>
    <w:rPr>
      <w:i/>
      <w:iCs/>
    </w:rPr>
  </w:style>
  <w:style w:type="table" w:styleId="Mkatabulky">
    <w:name w:val="Table Grid"/>
    <w:basedOn w:val="Normlntabulka"/>
    <w:uiPriority w:val="39"/>
    <w:rsid w:val="00ED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35EC"/>
    <w:pPr>
      <w:suppressAutoHyphens/>
      <w:autoSpaceDN w:val="0"/>
      <w:spacing w:line="242" w:lineRule="auto"/>
      <w:textAlignment w:val="baseline"/>
    </w:pPr>
    <w:rPr>
      <w:rFonts w:ascii="Calibri" w:eastAsia="SimSun" w:hAnsi="Calibri" w:cs="F"/>
      <w:kern w:val="3"/>
    </w:rPr>
  </w:style>
  <w:style w:type="paragraph" w:customStyle="1" w:styleId="ABeznytext">
    <w:name w:val="A_Bezny text"/>
    <w:qFormat/>
    <w:rsid w:val="00DA23A6"/>
    <w:pPr>
      <w:tabs>
        <w:tab w:val="left" w:pos="737"/>
        <w:tab w:val="left" w:pos="7088"/>
      </w:tabs>
      <w:spacing w:after="40" w:line="240" w:lineRule="auto"/>
      <w:ind w:firstLine="284"/>
      <w:jc w:val="both"/>
    </w:pPr>
    <w:rPr>
      <w:rFonts w:ascii="Palatino Linotype" w:eastAsia="Times New Roman" w:hAnsi="Palatino Linotype" w:cs="Times New Roman"/>
      <w:szCs w:val="24"/>
    </w:rPr>
  </w:style>
  <w:style w:type="paragraph" w:customStyle="1" w:styleId="Default">
    <w:name w:val="Default"/>
    <w:uiPriority w:val="99"/>
    <w:rsid w:val="00BA3321"/>
    <w:pPr>
      <w:spacing w:after="0" w:line="240" w:lineRule="auto"/>
    </w:pPr>
    <w:rPr>
      <w:rFonts w:ascii="Times New Roman" w:eastAsia="Times New Roman" w:hAnsi="Times New Roman" w:cs="Times New Roman"/>
      <w:color w:val="000000"/>
      <w:sz w:val="24"/>
      <w:szCs w:val="24"/>
      <w:lang w:eastAsia="cs-CZ"/>
    </w:rPr>
  </w:style>
  <w:style w:type="character" w:customStyle="1" w:styleId="Nadpis2Char">
    <w:name w:val="Nadpis 2 Char"/>
    <w:basedOn w:val="Standardnpsmoodstavce"/>
    <w:link w:val="Nadpis2"/>
    <w:uiPriority w:val="9"/>
    <w:rsid w:val="00FF0493"/>
    <w:rPr>
      <w:rFonts w:ascii="Times New Roman" w:eastAsia="Times New Roman" w:hAnsi="Times New Roman" w:cs="Times New Roman"/>
      <w:b/>
      <w:bCs/>
      <w:sz w:val="24"/>
      <w:szCs w:val="24"/>
      <w:lang w:val="x-none"/>
    </w:rPr>
  </w:style>
  <w:style w:type="character" w:customStyle="1" w:styleId="gcwxi2kcpjb">
    <w:name w:val="gcwxi2kcpjb"/>
    <w:basedOn w:val="Standardnpsmoodstavce"/>
    <w:rsid w:val="00FF0493"/>
  </w:style>
  <w:style w:type="character" w:customStyle="1" w:styleId="Nadpis3Char">
    <w:name w:val="Nadpis 3 Char"/>
    <w:basedOn w:val="Standardnpsmoodstavce"/>
    <w:link w:val="Nadpis3"/>
    <w:uiPriority w:val="9"/>
    <w:semiHidden/>
    <w:rsid w:val="00E33035"/>
    <w:rPr>
      <w:rFonts w:asciiTheme="majorHAnsi" w:eastAsiaTheme="majorEastAsia" w:hAnsiTheme="majorHAnsi" w:cstheme="majorBidi"/>
      <w:color w:val="1F4D78" w:themeColor="accent1" w:themeShade="7F"/>
      <w:sz w:val="24"/>
      <w:szCs w:val="24"/>
    </w:rPr>
  </w:style>
  <w:style w:type="paragraph" w:styleId="Podtitul">
    <w:name w:val="Subtitle"/>
    <w:basedOn w:val="Normln"/>
    <w:next w:val="Normln"/>
    <w:link w:val="PodtitulChar"/>
    <w:uiPriority w:val="11"/>
    <w:qFormat/>
    <w:rsid w:val="00E33035"/>
    <w:pPr>
      <w:spacing w:before="120" w:after="0" w:line="240" w:lineRule="auto"/>
      <w:jc w:val="both"/>
    </w:pPr>
    <w:rPr>
      <w:rFonts w:ascii="Times New Roman" w:eastAsia="Times New Roman" w:hAnsi="Times New Roman" w:cs="Times New Roman"/>
      <w:i/>
      <w:noProof/>
      <w:sz w:val="32"/>
      <w:szCs w:val="32"/>
      <w:lang w:eastAsia="cs-CZ"/>
    </w:rPr>
  </w:style>
  <w:style w:type="character" w:customStyle="1" w:styleId="PodtitulChar">
    <w:name w:val="Podtitul Char"/>
    <w:basedOn w:val="Standardnpsmoodstavce"/>
    <w:link w:val="Podtitul"/>
    <w:uiPriority w:val="11"/>
    <w:rsid w:val="00E33035"/>
    <w:rPr>
      <w:rFonts w:ascii="Times New Roman" w:eastAsia="Times New Roman" w:hAnsi="Times New Roman" w:cs="Times New Roman"/>
      <w:i/>
      <w:noProof/>
      <w:sz w:val="32"/>
      <w:szCs w:val="32"/>
      <w:lang w:eastAsia="cs-CZ"/>
    </w:rPr>
  </w:style>
  <w:style w:type="paragraph" w:customStyle="1" w:styleId="justify">
    <w:name w:val="justify"/>
    <w:basedOn w:val="Normln"/>
    <w:rsid w:val="006168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16813"/>
    <w:rPr>
      <w:b/>
      <w:bCs/>
    </w:rPr>
  </w:style>
  <w:style w:type="character" w:customStyle="1" w:styleId="Nadpis1Char">
    <w:name w:val="Nadpis 1 Char"/>
    <w:basedOn w:val="Standardnpsmoodstavce"/>
    <w:link w:val="Nadpis1"/>
    <w:uiPriority w:val="9"/>
    <w:rsid w:val="00242993"/>
    <w:rPr>
      <w:rFonts w:asciiTheme="majorHAnsi" w:eastAsiaTheme="majorEastAsia" w:hAnsiTheme="majorHAnsi" w:cstheme="majorBidi"/>
      <w:color w:val="2E74B5" w:themeColor="accent1" w:themeShade="BF"/>
      <w:sz w:val="32"/>
      <w:szCs w:val="32"/>
    </w:rPr>
  </w:style>
  <w:style w:type="paragraph" w:styleId="Pedmtkomente">
    <w:name w:val="annotation subject"/>
    <w:basedOn w:val="Textkomente"/>
    <w:next w:val="Textkomente"/>
    <w:link w:val="PedmtkomenteChar"/>
    <w:uiPriority w:val="99"/>
    <w:semiHidden/>
    <w:unhideWhenUsed/>
    <w:rsid w:val="000635D0"/>
    <w:rPr>
      <w:b/>
      <w:bCs/>
    </w:rPr>
  </w:style>
  <w:style w:type="character" w:customStyle="1" w:styleId="PedmtkomenteChar">
    <w:name w:val="Předmět komentáře Char"/>
    <w:basedOn w:val="TextkomenteChar"/>
    <w:link w:val="Pedmtkomente"/>
    <w:uiPriority w:val="99"/>
    <w:semiHidden/>
    <w:rsid w:val="000635D0"/>
    <w:rPr>
      <w:b/>
      <w:bCs/>
      <w:sz w:val="20"/>
      <w:szCs w:val="20"/>
    </w:rPr>
  </w:style>
  <w:style w:type="paragraph" w:styleId="Revize">
    <w:name w:val="Revision"/>
    <w:hidden/>
    <w:uiPriority w:val="99"/>
    <w:semiHidden/>
    <w:rsid w:val="00B0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80307">
      <w:bodyDiv w:val="1"/>
      <w:marLeft w:val="0"/>
      <w:marRight w:val="0"/>
      <w:marTop w:val="0"/>
      <w:marBottom w:val="0"/>
      <w:divBdr>
        <w:top w:val="none" w:sz="0" w:space="0" w:color="auto"/>
        <w:left w:val="none" w:sz="0" w:space="0" w:color="auto"/>
        <w:bottom w:val="none" w:sz="0" w:space="0" w:color="auto"/>
        <w:right w:val="none" w:sz="0" w:space="0" w:color="auto"/>
      </w:divBdr>
    </w:div>
    <w:div w:id="381171012">
      <w:bodyDiv w:val="1"/>
      <w:marLeft w:val="0"/>
      <w:marRight w:val="0"/>
      <w:marTop w:val="0"/>
      <w:marBottom w:val="0"/>
      <w:divBdr>
        <w:top w:val="none" w:sz="0" w:space="0" w:color="auto"/>
        <w:left w:val="none" w:sz="0" w:space="0" w:color="auto"/>
        <w:bottom w:val="none" w:sz="0" w:space="0" w:color="auto"/>
        <w:right w:val="none" w:sz="0" w:space="0" w:color="auto"/>
      </w:divBdr>
    </w:div>
    <w:div w:id="834342239">
      <w:bodyDiv w:val="1"/>
      <w:marLeft w:val="0"/>
      <w:marRight w:val="0"/>
      <w:marTop w:val="0"/>
      <w:marBottom w:val="0"/>
      <w:divBdr>
        <w:top w:val="none" w:sz="0" w:space="0" w:color="auto"/>
        <w:left w:val="none" w:sz="0" w:space="0" w:color="auto"/>
        <w:bottom w:val="none" w:sz="0" w:space="0" w:color="auto"/>
        <w:right w:val="none" w:sz="0" w:space="0" w:color="auto"/>
      </w:divBdr>
    </w:div>
    <w:div w:id="1005127689">
      <w:bodyDiv w:val="1"/>
      <w:marLeft w:val="0"/>
      <w:marRight w:val="0"/>
      <w:marTop w:val="0"/>
      <w:marBottom w:val="0"/>
      <w:divBdr>
        <w:top w:val="none" w:sz="0" w:space="0" w:color="auto"/>
        <w:left w:val="none" w:sz="0" w:space="0" w:color="auto"/>
        <w:bottom w:val="none" w:sz="0" w:space="0" w:color="auto"/>
        <w:right w:val="none" w:sz="0" w:space="0" w:color="auto"/>
      </w:divBdr>
    </w:div>
    <w:div w:id="1185512932">
      <w:bodyDiv w:val="1"/>
      <w:marLeft w:val="0"/>
      <w:marRight w:val="0"/>
      <w:marTop w:val="0"/>
      <w:marBottom w:val="0"/>
      <w:divBdr>
        <w:top w:val="none" w:sz="0" w:space="0" w:color="auto"/>
        <w:left w:val="none" w:sz="0" w:space="0" w:color="auto"/>
        <w:bottom w:val="none" w:sz="0" w:space="0" w:color="auto"/>
        <w:right w:val="none" w:sz="0" w:space="0" w:color="auto"/>
      </w:divBdr>
    </w:div>
    <w:div w:id="1695576843">
      <w:bodyDiv w:val="1"/>
      <w:marLeft w:val="0"/>
      <w:marRight w:val="0"/>
      <w:marTop w:val="0"/>
      <w:marBottom w:val="0"/>
      <w:divBdr>
        <w:top w:val="none" w:sz="0" w:space="0" w:color="auto"/>
        <w:left w:val="none" w:sz="0" w:space="0" w:color="auto"/>
        <w:bottom w:val="none" w:sz="0" w:space="0" w:color="auto"/>
        <w:right w:val="none" w:sz="0" w:space="0" w:color="auto"/>
      </w:divBdr>
    </w:div>
    <w:div w:id="1747413293">
      <w:bodyDiv w:val="1"/>
      <w:marLeft w:val="0"/>
      <w:marRight w:val="0"/>
      <w:marTop w:val="0"/>
      <w:marBottom w:val="0"/>
      <w:divBdr>
        <w:top w:val="none" w:sz="0" w:space="0" w:color="auto"/>
        <w:left w:val="none" w:sz="0" w:space="0" w:color="auto"/>
        <w:bottom w:val="none" w:sz="0" w:space="0" w:color="auto"/>
        <w:right w:val="none" w:sz="0" w:space="0" w:color="auto"/>
      </w:divBdr>
    </w:div>
    <w:div w:id="1781686286">
      <w:bodyDiv w:val="1"/>
      <w:marLeft w:val="0"/>
      <w:marRight w:val="0"/>
      <w:marTop w:val="0"/>
      <w:marBottom w:val="0"/>
      <w:divBdr>
        <w:top w:val="none" w:sz="0" w:space="0" w:color="auto"/>
        <w:left w:val="none" w:sz="0" w:space="0" w:color="auto"/>
        <w:bottom w:val="none" w:sz="0" w:space="0" w:color="auto"/>
        <w:right w:val="none" w:sz="0" w:space="0" w:color="auto"/>
      </w:divBdr>
    </w:div>
    <w:div w:id="1811702281">
      <w:bodyDiv w:val="1"/>
      <w:marLeft w:val="0"/>
      <w:marRight w:val="0"/>
      <w:marTop w:val="0"/>
      <w:marBottom w:val="0"/>
      <w:divBdr>
        <w:top w:val="none" w:sz="0" w:space="0" w:color="auto"/>
        <w:left w:val="none" w:sz="0" w:space="0" w:color="auto"/>
        <w:bottom w:val="none" w:sz="0" w:space="0" w:color="auto"/>
        <w:right w:val="none" w:sz="0" w:space="0" w:color="auto"/>
      </w:divBdr>
    </w:div>
    <w:div w:id="1822885069">
      <w:bodyDiv w:val="1"/>
      <w:marLeft w:val="0"/>
      <w:marRight w:val="0"/>
      <w:marTop w:val="0"/>
      <w:marBottom w:val="0"/>
      <w:divBdr>
        <w:top w:val="none" w:sz="0" w:space="0" w:color="auto"/>
        <w:left w:val="none" w:sz="0" w:space="0" w:color="auto"/>
        <w:bottom w:val="none" w:sz="0" w:space="0" w:color="auto"/>
        <w:right w:val="none" w:sz="0" w:space="0" w:color="auto"/>
      </w:divBdr>
    </w:div>
    <w:div w:id="1840536359">
      <w:bodyDiv w:val="1"/>
      <w:marLeft w:val="0"/>
      <w:marRight w:val="0"/>
      <w:marTop w:val="0"/>
      <w:marBottom w:val="0"/>
      <w:divBdr>
        <w:top w:val="none" w:sz="0" w:space="0" w:color="auto"/>
        <w:left w:val="none" w:sz="0" w:space="0" w:color="auto"/>
        <w:bottom w:val="none" w:sz="0" w:space="0" w:color="auto"/>
        <w:right w:val="none" w:sz="0" w:space="0" w:color="auto"/>
      </w:divBdr>
    </w:div>
    <w:div w:id="1904291947">
      <w:bodyDiv w:val="1"/>
      <w:marLeft w:val="0"/>
      <w:marRight w:val="0"/>
      <w:marTop w:val="0"/>
      <w:marBottom w:val="0"/>
      <w:divBdr>
        <w:top w:val="none" w:sz="0" w:space="0" w:color="auto"/>
        <w:left w:val="none" w:sz="0" w:space="0" w:color="auto"/>
        <w:bottom w:val="none" w:sz="0" w:space="0" w:color="auto"/>
        <w:right w:val="none" w:sz="0" w:space="0" w:color="auto"/>
      </w:divBdr>
      <w:divsChild>
        <w:div w:id="562837392">
          <w:marLeft w:val="0"/>
          <w:marRight w:val="0"/>
          <w:marTop w:val="0"/>
          <w:marBottom w:val="0"/>
          <w:divBdr>
            <w:top w:val="none" w:sz="0" w:space="0" w:color="auto"/>
            <w:left w:val="none" w:sz="0" w:space="0" w:color="auto"/>
            <w:bottom w:val="none" w:sz="0" w:space="0" w:color="auto"/>
            <w:right w:val="none" w:sz="0" w:space="0" w:color="auto"/>
          </w:divBdr>
        </w:div>
        <w:div w:id="448397775">
          <w:marLeft w:val="0"/>
          <w:marRight w:val="0"/>
          <w:marTop w:val="0"/>
          <w:marBottom w:val="0"/>
          <w:divBdr>
            <w:top w:val="none" w:sz="0" w:space="0" w:color="auto"/>
            <w:left w:val="none" w:sz="0" w:space="0" w:color="auto"/>
            <w:bottom w:val="none" w:sz="0" w:space="0" w:color="auto"/>
            <w:right w:val="none" w:sz="0" w:space="0" w:color="auto"/>
          </w:divBdr>
        </w:div>
      </w:divsChild>
    </w:div>
    <w:div w:id="1960063932">
      <w:bodyDiv w:val="1"/>
      <w:marLeft w:val="0"/>
      <w:marRight w:val="0"/>
      <w:marTop w:val="0"/>
      <w:marBottom w:val="0"/>
      <w:divBdr>
        <w:top w:val="none" w:sz="0" w:space="0" w:color="auto"/>
        <w:left w:val="none" w:sz="0" w:space="0" w:color="auto"/>
        <w:bottom w:val="none" w:sz="0" w:space="0" w:color="auto"/>
        <w:right w:val="none" w:sz="0" w:space="0" w:color="auto"/>
      </w:divBdr>
    </w:div>
    <w:div w:id="2011442150">
      <w:bodyDiv w:val="1"/>
      <w:marLeft w:val="0"/>
      <w:marRight w:val="0"/>
      <w:marTop w:val="0"/>
      <w:marBottom w:val="0"/>
      <w:divBdr>
        <w:top w:val="none" w:sz="0" w:space="0" w:color="auto"/>
        <w:left w:val="none" w:sz="0" w:space="0" w:color="auto"/>
        <w:bottom w:val="none" w:sz="0" w:space="0" w:color="auto"/>
        <w:right w:val="none" w:sz="0" w:space="0" w:color="auto"/>
      </w:divBdr>
    </w:div>
    <w:div w:id="2071146342">
      <w:bodyDiv w:val="1"/>
      <w:marLeft w:val="0"/>
      <w:marRight w:val="0"/>
      <w:marTop w:val="0"/>
      <w:marBottom w:val="0"/>
      <w:divBdr>
        <w:top w:val="none" w:sz="0" w:space="0" w:color="auto"/>
        <w:left w:val="none" w:sz="0" w:space="0" w:color="auto"/>
        <w:bottom w:val="none" w:sz="0" w:space="0" w:color="auto"/>
        <w:right w:val="none" w:sz="0" w:space="0" w:color="auto"/>
      </w:divBdr>
    </w:div>
    <w:div w:id="20862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radnik@vulh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ubojacky.j@sezna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7E92-E9CF-42E8-8FE7-77CB9EEF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1311</Words>
  <Characters>7741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jrezac1@gmail.com</cp:lastModifiedBy>
  <cp:revision>23</cp:revision>
  <cp:lastPrinted>2019-03-07T10:37:00Z</cp:lastPrinted>
  <dcterms:created xsi:type="dcterms:W3CDTF">2019-03-06T14:02:00Z</dcterms:created>
  <dcterms:modified xsi:type="dcterms:W3CDTF">2019-04-16T07:09:00Z</dcterms:modified>
</cp:coreProperties>
</file>