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harts/colors1.xml" ContentType="application/vnd.ms-office.chartcolorstyle+xml"/>
  <Override PartName="/word/charts/style1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696B86" w14:textId="26389E88" w:rsidR="008E1F0F" w:rsidRPr="0065292F" w:rsidRDefault="00E3592A" w:rsidP="002B3488">
      <w:pPr>
        <w:spacing w:line="276" w:lineRule="auto"/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>
        <w:rPr>
          <w:rFonts w:cs="Arial"/>
          <w:b/>
          <w:sz w:val="28"/>
          <w:szCs w:val="28"/>
        </w:rPr>
        <w:t xml:space="preserve">Češi se vezou na vlně bublinek, ročně </w:t>
      </w:r>
      <w:r w:rsidR="008B6569">
        <w:rPr>
          <w:rFonts w:cs="Arial"/>
          <w:b/>
          <w:sz w:val="28"/>
          <w:szCs w:val="28"/>
        </w:rPr>
        <w:t xml:space="preserve">se v tuzemsku prodá </w:t>
      </w:r>
      <w:r>
        <w:rPr>
          <w:rFonts w:cs="Arial"/>
          <w:b/>
          <w:sz w:val="28"/>
          <w:szCs w:val="28"/>
        </w:rPr>
        <w:t>přes 22 milionů lahví</w:t>
      </w:r>
    </w:p>
    <w:p w14:paraId="69FEBD0C" w14:textId="780627A9" w:rsidR="007D5178" w:rsidRPr="0065292F" w:rsidRDefault="00D659E1" w:rsidP="00930455">
      <w:pPr>
        <w:spacing w:line="276" w:lineRule="auto"/>
        <w:jc w:val="both"/>
        <w:rPr>
          <w:rFonts w:cs="Arial"/>
          <w:b/>
        </w:rPr>
      </w:pPr>
      <w:r w:rsidRPr="0065292F">
        <w:rPr>
          <w:rFonts w:cs="Arial"/>
          <w:i/>
        </w:rPr>
        <w:t>Starý Plzenec</w:t>
      </w:r>
      <w:r w:rsidR="001065EC">
        <w:rPr>
          <w:rFonts w:cs="Arial"/>
          <w:i/>
        </w:rPr>
        <w:t xml:space="preserve">, </w:t>
      </w:r>
      <w:r w:rsidR="00293D50">
        <w:rPr>
          <w:rFonts w:cs="Arial"/>
          <w:i/>
        </w:rPr>
        <w:t>3</w:t>
      </w:r>
      <w:r w:rsidR="001065EC">
        <w:rPr>
          <w:rFonts w:cs="Arial"/>
          <w:i/>
        </w:rPr>
        <w:t xml:space="preserve">. července </w:t>
      </w:r>
      <w:r w:rsidRPr="0065292F">
        <w:rPr>
          <w:rFonts w:cs="Arial"/>
          <w:i/>
        </w:rPr>
        <w:t>201</w:t>
      </w:r>
      <w:r w:rsidR="007765CA">
        <w:rPr>
          <w:rFonts w:cs="Arial"/>
          <w:i/>
        </w:rPr>
        <w:t>9</w:t>
      </w:r>
      <w:r w:rsidRPr="0065292F">
        <w:rPr>
          <w:rFonts w:cs="Arial"/>
          <w:i/>
        </w:rPr>
        <w:t xml:space="preserve"> </w:t>
      </w:r>
      <w:r w:rsidR="0065292F">
        <w:rPr>
          <w:rFonts w:cs="Arial"/>
          <w:i/>
        </w:rPr>
        <w:t>–</w:t>
      </w:r>
      <w:r w:rsidRPr="0065292F">
        <w:rPr>
          <w:rFonts w:cs="Arial"/>
          <w:b/>
        </w:rPr>
        <w:t xml:space="preserve"> </w:t>
      </w:r>
      <w:r w:rsidR="007D5178" w:rsidRPr="0065292F">
        <w:rPr>
          <w:rFonts w:cs="Arial"/>
          <w:b/>
        </w:rPr>
        <w:t>V roce 201</w:t>
      </w:r>
      <w:r w:rsidR="007765CA">
        <w:rPr>
          <w:rFonts w:cs="Arial"/>
          <w:b/>
        </w:rPr>
        <w:t>8</w:t>
      </w:r>
      <w:r w:rsidR="007D5178" w:rsidRPr="0065292F">
        <w:rPr>
          <w:rFonts w:cs="Arial"/>
          <w:b/>
        </w:rPr>
        <w:t xml:space="preserve"> </w:t>
      </w:r>
      <w:r w:rsidR="001052B8">
        <w:rPr>
          <w:rFonts w:cs="Arial"/>
          <w:b/>
        </w:rPr>
        <w:t xml:space="preserve">bylo na český trh </w:t>
      </w:r>
      <w:r w:rsidR="007D5178" w:rsidRPr="0065292F">
        <w:rPr>
          <w:rFonts w:cs="Arial"/>
          <w:b/>
        </w:rPr>
        <w:t xml:space="preserve">dle </w:t>
      </w:r>
      <w:r w:rsidR="00CA195C" w:rsidRPr="0065292F">
        <w:rPr>
          <w:rFonts w:cs="Arial"/>
          <w:b/>
        </w:rPr>
        <w:t xml:space="preserve">statistických dat Celní správy České republiky </w:t>
      </w:r>
      <w:r w:rsidR="001052B8">
        <w:rPr>
          <w:rFonts w:cs="Arial"/>
          <w:b/>
        </w:rPr>
        <w:t>dodáno</w:t>
      </w:r>
      <w:r w:rsidR="001052B8" w:rsidRPr="0065292F">
        <w:rPr>
          <w:rFonts w:cs="Arial"/>
          <w:b/>
        </w:rPr>
        <w:t xml:space="preserve"> </w:t>
      </w:r>
      <w:r w:rsidR="00932E8D">
        <w:rPr>
          <w:rFonts w:cs="Arial"/>
          <w:b/>
        </w:rPr>
        <w:t>22</w:t>
      </w:r>
      <w:r w:rsidR="007D5178" w:rsidRPr="0065292F">
        <w:rPr>
          <w:rFonts w:cs="Arial"/>
          <w:b/>
        </w:rPr>
        <w:t>,</w:t>
      </w:r>
      <w:r w:rsidR="00932E8D">
        <w:rPr>
          <w:rFonts w:cs="Arial"/>
          <w:b/>
        </w:rPr>
        <w:t>2</w:t>
      </w:r>
      <w:r w:rsidR="007D5178" w:rsidRPr="0065292F">
        <w:rPr>
          <w:rFonts w:cs="Arial"/>
          <w:b/>
        </w:rPr>
        <w:t xml:space="preserve"> milion</w:t>
      </w:r>
      <w:r w:rsidR="001065EC">
        <w:rPr>
          <w:rFonts w:cs="Arial"/>
          <w:b/>
        </w:rPr>
        <w:t>ů</w:t>
      </w:r>
      <w:r w:rsidR="007D5178" w:rsidRPr="0065292F">
        <w:rPr>
          <w:rFonts w:cs="Arial"/>
          <w:b/>
        </w:rPr>
        <w:t xml:space="preserve"> lahví </w:t>
      </w:r>
      <w:r w:rsidR="00CA195C" w:rsidRPr="0065292F">
        <w:rPr>
          <w:rFonts w:cs="Arial"/>
          <w:b/>
        </w:rPr>
        <w:t>šumivých vín</w:t>
      </w:r>
      <w:r w:rsidR="007D5178" w:rsidRPr="0065292F">
        <w:rPr>
          <w:rFonts w:cs="Arial"/>
          <w:b/>
        </w:rPr>
        <w:t>. Oproti roku 201</w:t>
      </w:r>
      <w:r w:rsidR="00932E8D">
        <w:rPr>
          <w:rFonts w:cs="Arial"/>
          <w:b/>
        </w:rPr>
        <w:t>7</w:t>
      </w:r>
      <w:r w:rsidR="007D5178" w:rsidRPr="0065292F">
        <w:rPr>
          <w:rFonts w:cs="Arial"/>
          <w:b/>
        </w:rPr>
        <w:t xml:space="preserve"> </w:t>
      </w:r>
      <w:r w:rsidR="000D1926">
        <w:rPr>
          <w:rFonts w:cs="Arial"/>
          <w:b/>
        </w:rPr>
        <w:t xml:space="preserve">je to </w:t>
      </w:r>
      <w:r w:rsidR="007D5178" w:rsidRPr="0065292F">
        <w:rPr>
          <w:rFonts w:cs="Arial"/>
          <w:b/>
        </w:rPr>
        <w:t xml:space="preserve">o </w:t>
      </w:r>
      <w:r w:rsidR="00E3592A">
        <w:rPr>
          <w:rFonts w:cs="Arial"/>
          <w:b/>
        </w:rPr>
        <w:t xml:space="preserve">15 </w:t>
      </w:r>
      <w:r w:rsidR="007D5178" w:rsidRPr="0065292F">
        <w:rPr>
          <w:rFonts w:cs="Arial"/>
          <w:b/>
        </w:rPr>
        <w:t>%</w:t>
      </w:r>
      <w:r w:rsidR="000D1926">
        <w:rPr>
          <w:rFonts w:cs="Arial"/>
          <w:b/>
        </w:rPr>
        <w:t xml:space="preserve"> více</w:t>
      </w:r>
      <w:r w:rsidR="005E5086">
        <w:rPr>
          <w:rFonts w:cs="Arial"/>
          <w:b/>
        </w:rPr>
        <w:t xml:space="preserve">, což představuje nejvýznamnější </w:t>
      </w:r>
      <w:r w:rsidR="00A405C2">
        <w:rPr>
          <w:rFonts w:cs="Arial"/>
          <w:b/>
        </w:rPr>
        <w:t>nárůst</w:t>
      </w:r>
      <w:r w:rsidR="005E5086">
        <w:rPr>
          <w:rFonts w:cs="Arial"/>
          <w:b/>
        </w:rPr>
        <w:t xml:space="preserve"> </w:t>
      </w:r>
      <w:r w:rsidR="00B47063">
        <w:rPr>
          <w:rFonts w:cs="Arial"/>
          <w:b/>
        </w:rPr>
        <w:t>za posledních 19 let</w:t>
      </w:r>
      <w:r w:rsidR="007D5178" w:rsidRPr="0065292F">
        <w:rPr>
          <w:rFonts w:cs="Arial"/>
          <w:b/>
        </w:rPr>
        <w:t>.</w:t>
      </w:r>
    </w:p>
    <w:p w14:paraId="5F9F7117" w14:textId="1AE22D9A" w:rsidR="00A405C2" w:rsidRDefault="00B47063" w:rsidP="008A6B7C">
      <w:pPr>
        <w:jc w:val="both"/>
      </w:pPr>
      <w:r w:rsidRPr="0065292F">
        <w:t xml:space="preserve">Z dat Celní správy </w:t>
      </w:r>
      <w:r>
        <w:t xml:space="preserve">ČR </w:t>
      </w:r>
      <w:r w:rsidRPr="0065292F">
        <w:t xml:space="preserve">vyplývá, že </w:t>
      </w:r>
      <w:r>
        <w:t>obliba sektů mezi Čechy postupně roste už od roku</w:t>
      </w:r>
      <w:r w:rsidRPr="0065292F">
        <w:t xml:space="preserve"> 2000</w:t>
      </w:r>
      <w:r>
        <w:t xml:space="preserve">. </w:t>
      </w:r>
      <w:r w:rsidR="008A6B7C">
        <w:t xml:space="preserve">Rychlejší tempo růstu </w:t>
      </w:r>
      <w:r w:rsidR="006411CA">
        <w:t>prodejů</w:t>
      </w:r>
      <w:r w:rsidR="008A6B7C">
        <w:t xml:space="preserve"> panuje od roku</w:t>
      </w:r>
      <w:r w:rsidR="00E3592A">
        <w:t xml:space="preserve"> </w:t>
      </w:r>
      <w:r w:rsidR="007D5178" w:rsidRPr="0065292F">
        <w:t>2015</w:t>
      </w:r>
      <w:r w:rsidR="00E3592A">
        <w:t xml:space="preserve">, přičemž rekordní </w:t>
      </w:r>
      <w:r w:rsidR="005E5086">
        <w:t xml:space="preserve">byl loňský </w:t>
      </w:r>
      <w:r w:rsidR="00E3592A">
        <w:t>rok 2018</w:t>
      </w:r>
      <w:r w:rsidR="008A6B7C">
        <w:t>,</w:t>
      </w:r>
      <w:r w:rsidR="00E3592A">
        <w:t xml:space="preserve"> když se </w:t>
      </w:r>
      <w:r w:rsidR="006411CA">
        <w:t>toto číslo</w:t>
      </w:r>
      <w:r w:rsidR="008A6B7C">
        <w:t xml:space="preserve"> zvýšil</w:t>
      </w:r>
      <w:r w:rsidR="006411CA">
        <w:t>o</w:t>
      </w:r>
      <w:r w:rsidR="00E3592A">
        <w:t xml:space="preserve"> o </w:t>
      </w:r>
      <w:r w:rsidR="008A6B7C">
        <w:t>15,3 % proti roku 2017</w:t>
      </w:r>
      <w:r w:rsidR="00E3592A">
        <w:t>.</w:t>
      </w:r>
      <w:r w:rsidR="007D5178" w:rsidRPr="0065292F">
        <w:t xml:space="preserve"> </w:t>
      </w:r>
      <w:r w:rsidR="005E5086">
        <w:t xml:space="preserve">Za uplynulých 5 let se pak </w:t>
      </w:r>
      <w:r w:rsidR="00BE6D4F">
        <w:t>celkov</w:t>
      </w:r>
      <w:r w:rsidR="006411CA">
        <w:t>é</w:t>
      </w:r>
      <w:r w:rsidR="00BE6D4F">
        <w:t xml:space="preserve"> </w:t>
      </w:r>
      <w:r w:rsidR="006411CA">
        <w:t xml:space="preserve">prodeje </w:t>
      </w:r>
      <w:r w:rsidR="00814EA5">
        <w:t>sektů</w:t>
      </w:r>
      <w:r w:rsidR="006411CA">
        <w:t xml:space="preserve"> a šumivých vín </w:t>
      </w:r>
      <w:r w:rsidR="00BE6D4F">
        <w:t xml:space="preserve">v ČR </w:t>
      </w:r>
      <w:r w:rsidR="005E5086">
        <w:t>zvýšil</w:t>
      </w:r>
      <w:r w:rsidR="00B730BB">
        <w:t>y</w:t>
      </w:r>
      <w:r w:rsidR="005E5086">
        <w:t xml:space="preserve"> o 44 %. </w:t>
      </w:r>
      <w:r w:rsidR="008A6B7C">
        <w:t xml:space="preserve">Pro představu, </w:t>
      </w:r>
      <w:r w:rsidR="005E5086">
        <w:t xml:space="preserve">zatímco </w:t>
      </w:r>
      <w:r w:rsidR="008A6B7C">
        <w:t>v roce 2014 vypil průměrně každý Čech 1,4 lahve sektu o objemu 0,75 litru ročně</w:t>
      </w:r>
      <w:r w:rsidR="005E5086">
        <w:t>,</w:t>
      </w:r>
      <w:r w:rsidR="008A6B7C">
        <w:t xml:space="preserve"> dnes už</w:t>
      </w:r>
      <w:r w:rsidR="001260D4" w:rsidRPr="0065292F">
        <w:t xml:space="preserve"> </w:t>
      </w:r>
      <w:r w:rsidR="008A6B7C">
        <w:t>jsou to více než 2 lahve</w:t>
      </w:r>
      <w:r w:rsidR="007D5178" w:rsidRPr="0065292F">
        <w:t>.</w:t>
      </w:r>
    </w:p>
    <w:p w14:paraId="7480095C" w14:textId="2E2CF8D1" w:rsidR="00A405C2" w:rsidRPr="0065292F" w:rsidRDefault="00A405C2" w:rsidP="008A6B7C">
      <w:pPr>
        <w:jc w:val="both"/>
      </w:pPr>
      <w:r w:rsidRPr="0065292F">
        <w:rPr>
          <w:i/>
        </w:rPr>
        <w:t>„</w:t>
      </w:r>
      <w:r>
        <w:rPr>
          <w:i/>
        </w:rPr>
        <w:t xml:space="preserve">Stejně jako celý segment sektů se i naše prodeje v loňském roce vyvíjely pozitivně. </w:t>
      </w:r>
      <w:r w:rsidR="00525642">
        <w:rPr>
          <w:i/>
        </w:rPr>
        <w:t>Vážíme si toho</w:t>
      </w:r>
      <w:r>
        <w:rPr>
          <w:i/>
        </w:rPr>
        <w:t>, že Češi zůstávají věrní značce Bohemia Sekt</w:t>
      </w:r>
      <w:r w:rsidR="006017D8">
        <w:rPr>
          <w:i/>
        </w:rPr>
        <w:t xml:space="preserve">, </w:t>
      </w:r>
      <w:r>
        <w:rPr>
          <w:i/>
        </w:rPr>
        <w:t xml:space="preserve">loni </w:t>
      </w:r>
      <w:r w:rsidR="006017D8">
        <w:rPr>
          <w:i/>
        </w:rPr>
        <w:t xml:space="preserve">se nám podařilo prodat rekordních </w:t>
      </w:r>
      <w:r w:rsidR="000F2715">
        <w:rPr>
          <w:i/>
        </w:rPr>
        <w:t xml:space="preserve">bezmála 13 </w:t>
      </w:r>
      <w:r>
        <w:rPr>
          <w:i/>
        </w:rPr>
        <w:t>milionů lahví,</w:t>
      </w:r>
      <w:r w:rsidRPr="0065292F">
        <w:rPr>
          <w:i/>
        </w:rPr>
        <w:t>“</w:t>
      </w:r>
      <w:r w:rsidRPr="0065292F">
        <w:t xml:space="preserve"> </w:t>
      </w:r>
      <w:r>
        <w:t>uvádí ke</w:t>
      </w:r>
      <w:r w:rsidRPr="0065292F">
        <w:t xml:space="preserve"> statistik</w:t>
      </w:r>
      <w:r>
        <w:t>ám</w:t>
      </w:r>
      <w:r w:rsidRPr="0065292F">
        <w:t xml:space="preserve"> Celní správy </w:t>
      </w:r>
      <w:r w:rsidR="001065EC">
        <w:t xml:space="preserve">ČR </w:t>
      </w:r>
      <w:r w:rsidRPr="0065292F">
        <w:t>Ondřej Beránek, ředitel společnosti BOHEMIA SEKT</w:t>
      </w:r>
      <w:r>
        <w:t xml:space="preserve">, </w:t>
      </w:r>
      <w:r w:rsidR="00525642">
        <w:t xml:space="preserve">jež </w:t>
      </w:r>
      <w:r>
        <w:t>dlouhodobě zaujímá pozici lídra na trhu sektů</w:t>
      </w:r>
      <w:r w:rsidR="00525642">
        <w:t xml:space="preserve"> i tichých vín</w:t>
      </w:r>
      <w:r>
        <w:t>.</w:t>
      </w:r>
      <w:r w:rsidR="006017D8">
        <w:t xml:space="preserve"> </w:t>
      </w:r>
      <w:r w:rsidR="004B52A7" w:rsidRPr="006A5186">
        <w:rPr>
          <w:i/>
        </w:rPr>
        <w:t xml:space="preserve">„Je ale potřeba říci, že </w:t>
      </w:r>
      <w:r w:rsidR="004B52A7">
        <w:rPr>
          <w:i/>
        </w:rPr>
        <w:t>určitou část zboží si naši odběratelé nakoupili do zásob na letošní rok ještě před koncem roku loňského, což pak ovlivní statistiku roku 2019 a meziroční srovnání</w:t>
      </w:r>
      <w:r w:rsidR="004B52A7" w:rsidRPr="006A5186">
        <w:rPr>
          <w:i/>
        </w:rPr>
        <w:t>,</w:t>
      </w:r>
      <w:r w:rsidR="004B52A7">
        <w:rPr>
          <w:i/>
        </w:rPr>
        <w:t xml:space="preserve">“ </w:t>
      </w:r>
      <w:r w:rsidR="00B1492C">
        <w:t xml:space="preserve">upřesňuje Beránek.  </w:t>
      </w:r>
    </w:p>
    <w:p w14:paraId="209512E2" w14:textId="77777777" w:rsidR="00826EB6" w:rsidRDefault="00826EB6" w:rsidP="007D5178">
      <w:pPr>
        <w:jc w:val="center"/>
        <w:rPr>
          <w:i/>
        </w:rPr>
      </w:pPr>
      <w:bookmarkStart w:id="1" w:name="OLE_LINK1"/>
    </w:p>
    <w:p w14:paraId="78C2ED96" w14:textId="78CD8661" w:rsidR="00826EB6" w:rsidRDefault="00826EB6" w:rsidP="007D5178">
      <w:pPr>
        <w:jc w:val="center"/>
        <w:rPr>
          <w:i/>
        </w:rPr>
      </w:pPr>
      <w:r>
        <w:rPr>
          <w:i/>
          <w:noProof/>
          <w:lang w:eastAsia="cs-CZ"/>
        </w:rPr>
        <w:drawing>
          <wp:inline distT="0" distB="0" distL="0" distR="0" wp14:anchorId="7FA9400E" wp14:editId="047A71B0">
            <wp:extent cx="5486400" cy="3200400"/>
            <wp:effectExtent l="0" t="0" r="0" b="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BE4F926" w14:textId="77777777" w:rsidR="00826EB6" w:rsidRDefault="00826EB6" w:rsidP="007A667D">
      <w:pPr>
        <w:rPr>
          <w:i/>
        </w:rPr>
      </w:pPr>
    </w:p>
    <w:p w14:paraId="276D2784" w14:textId="3FF24F0E" w:rsidR="007D5178" w:rsidRPr="00AF565E" w:rsidRDefault="007D5178" w:rsidP="00AF565E">
      <w:pPr>
        <w:jc w:val="center"/>
        <w:rPr>
          <w:i/>
        </w:rPr>
      </w:pPr>
      <w:r w:rsidRPr="0065292F">
        <w:rPr>
          <w:i/>
        </w:rPr>
        <w:t>Zdroj: Celní správa České republiky, Statistická data z oblasti výroby, dopravy a dovozu vína a meziproduktů, 2014–201</w:t>
      </w:r>
      <w:r w:rsidR="007A667D">
        <w:rPr>
          <w:i/>
        </w:rPr>
        <w:t>8</w:t>
      </w:r>
      <w:r w:rsidRPr="0065292F">
        <w:rPr>
          <w:i/>
        </w:rPr>
        <w:t xml:space="preserve">, </w:t>
      </w:r>
      <w:hyperlink r:id="rId12" w:history="1">
        <w:r w:rsidRPr="0065292F">
          <w:rPr>
            <w:rStyle w:val="Hypertextovodkaz"/>
            <w:i/>
          </w:rPr>
          <w:t>https://www.celnisprava.cz/cz/dane/statistiky/Stranky/vino.aspx</w:t>
        </w:r>
      </w:hyperlink>
      <w:r w:rsidRPr="0065292F">
        <w:rPr>
          <w:i/>
        </w:rPr>
        <w:t xml:space="preserve"> </w:t>
      </w:r>
      <w:bookmarkEnd w:id="1"/>
    </w:p>
    <w:p w14:paraId="6E0C0037" w14:textId="74EF8D4D" w:rsidR="007D5178" w:rsidRPr="0065292F" w:rsidRDefault="00A405C2" w:rsidP="00264C2E">
      <w:pPr>
        <w:jc w:val="both"/>
      </w:pPr>
      <w:r>
        <w:rPr>
          <w:iCs/>
        </w:rPr>
        <w:lastRenderedPageBreak/>
        <w:t>Při výběru sektů Češi stále nejčastěji sáhnou po</w:t>
      </w:r>
      <w:r w:rsidR="001065EC">
        <w:rPr>
          <w:iCs/>
        </w:rPr>
        <w:t xml:space="preserve"> </w:t>
      </w:r>
      <w:r w:rsidR="00525642">
        <w:rPr>
          <w:iCs/>
        </w:rPr>
        <w:t xml:space="preserve">šumivých vínech </w:t>
      </w:r>
      <w:r>
        <w:rPr>
          <w:iCs/>
        </w:rPr>
        <w:t xml:space="preserve">z kategorie </w:t>
      </w:r>
      <w:proofErr w:type="spellStart"/>
      <w:r>
        <w:rPr>
          <w:iCs/>
        </w:rPr>
        <w:t>demi</w:t>
      </w:r>
      <w:proofErr w:type="spellEnd"/>
      <w:r>
        <w:rPr>
          <w:iCs/>
        </w:rPr>
        <w:t xml:space="preserve"> sec. </w:t>
      </w:r>
      <w:r>
        <w:rPr>
          <w:i/>
        </w:rPr>
        <w:t xml:space="preserve">„Jedničkou v našem portfoliu je dlouhodobě Bohemia Sekt </w:t>
      </w:r>
      <w:proofErr w:type="spellStart"/>
      <w:r>
        <w:rPr>
          <w:i/>
        </w:rPr>
        <w:t>demi</w:t>
      </w:r>
      <w:proofErr w:type="spellEnd"/>
      <w:r>
        <w:rPr>
          <w:i/>
        </w:rPr>
        <w:t xml:space="preserve"> sec, kterého jsme vloni prodali 7,5 milionů lahví. Zároveň ale roste počet lidí, kteří se nebojí zkoušet nové chutě, příkladem je zájem o Bohemia Sekt La </w:t>
      </w:r>
      <w:proofErr w:type="spellStart"/>
      <w:r>
        <w:rPr>
          <w:i/>
        </w:rPr>
        <w:t>Fleur</w:t>
      </w:r>
      <w:proofErr w:type="spellEnd"/>
      <w:r>
        <w:rPr>
          <w:i/>
        </w:rPr>
        <w:t>, ale i příklon k </w:t>
      </w:r>
      <w:proofErr w:type="spellStart"/>
      <w:r>
        <w:rPr>
          <w:i/>
        </w:rPr>
        <w:t>jednodruhovým</w:t>
      </w:r>
      <w:proofErr w:type="spellEnd"/>
      <w:r>
        <w:rPr>
          <w:i/>
        </w:rPr>
        <w:t xml:space="preserve"> sektům jako například Ryzlink rýnský. </w:t>
      </w:r>
      <w:r w:rsidR="003D31C2">
        <w:rPr>
          <w:i/>
        </w:rPr>
        <w:t xml:space="preserve">Dlouhodobě také rostou prodeje nealkoholického </w:t>
      </w:r>
      <w:r w:rsidR="002E3DE3">
        <w:rPr>
          <w:i/>
        </w:rPr>
        <w:t>šumivého vína</w:t>
      </w:r>
      <w:r w:rsidR="003D31C2">
        <w:rPr>
          <w:i/>
        </w:rPr>
        <w:t xml:space="preserve">. </w:t>
      </w:r>
      <w:r>
        <w:rPr>
          <w:i/>
        </w:rPr>
        <w:t xml:space="preserve">Postupně se také mění vnímání sektu jako nápoje pouze pro slavnostní okamžiky v nápoj pro každou </w:t>
      </w:r>
      <w:r w:rsidR="003D31C2">
        <w:rPr>
          <w:i/>
        </w:rPr>
        <w:t xml:space="preserve">příjemnou </w:t>
      </w:r>
      <w:r>
        <w:rPr>
          <w:i/>
        </w:rPr>
        <w:t xml:space="preserve">příležitost,“ </w:t>
      </w:r>
      <w:r w:rsidRPr="00A405C2">
        <w:rPr>
          <w:iCs/>
        </w:rPr>
        <w:t>dodává Ondřej Beránek</w:t>
      </w:r>
      <w:r>
        <w:rPr>
          <w:iCs/>
        </w:rPr>
        <w:t>.</w:t>
      </w:r>
    </w:p>
    <w:p w14:paraId="5725A2E5" w14:textId="4314D056" w:rsidR="007D5178" w:rsidRPr="0065292F" w:rsidRDefault="007D5178" w:rsidP="007D5178"/>
    <w:p w14:paraId="59E71A02" w14:textId="77777777" w:rsidR="007D5178" w:rsidRPr="0065292F" w:rsidRDefault="007D5178" w:rsidP="007D5178">
      <w:pPr>
        <w:rPr>
          <w:b/>
        </w:rPr>
      </w:pPr>
      <w:r w:rsidRPr="0065292F">
        <w:rPr>
          <w:b/>
        </w:rPr>
        <w:t>Šumivé víno uvedené do volného daňového oběhu</w:t>
      </w:r>
    </w:p>
    <w:p w14:paraId="00EA398C" w14:textId="222BF95E" w:rsidR="007D5178" w:rsidRPr="0065292F" w:rsidRDefault="007D5178" w:rsidP="007D5178">
      <w:r w:rsidRPr="0065292F">
        <w:t xml:space="preserve">Údaje Celní správy </w:t>
      </w:r>
      <w:r w:rsidR="001065EC">
        <w:t xml:space="preserve">ČR </w:t>
      </w:r>
      <w:r w:rsidRPr="0065292F">
        <w:t>za posledních 10 let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00"/>
        <w:gridCol w:w="2806"/>
      </w:tblGrid>
      <w:tr w:rsidR="007D5178" w:rsidRPr="0065292F" w14:paraId="6336B6B7" w14:textId="77777777" w:rsidTr="006B73DB">
        <w:trPr>
          <w:trHeight w:val="320"/>
        </w:trPr>
        <w:tc>
          <w:tcPr>
            <w:tcW w:w="1300" w:type="dxa"/>
            <w:noWrap/>
            <w:hideMark/>
          </w:tcPr>
          <w:p w14:paraId="34AE4D88" w14:textId="77777777" w:rsidR="007D5178" w:rsidRPr="0065292F" w:rsidRDefault="007D5178" w:rsidP="006B73DB">
            <w:pPr>
              <w:rPr>
                <w:b/>
              </w:rPr>
            </w:pPr>
            <w:r w:rsidRPr="0065292F">
              <w:rPr>
                <w:b/>
              </w:rPr>
              <w:t>rok</w:t>
            </w:r>
          </w:p>
        </w:tc>
        <w:tc>
          <w:tcPr>
            <w:tcW w:w="2806" w:type="dxa"/>
            <w:noWrap/>
            <w:hideMark/>
          </w:tcPr>
          <w:p w14:paraId="1DE1318D" w14:textId="0E261568" w:rsidR="007D5178" w:rsidRPr="0065292F" w:rsidRDefault="007D5178" w:rsidP="006B73DB">
            <w:pPr>
              <w:rPr>
                <w:b/>
              </w:rPr>
            </w:pPr>
            <w:r w:rsidRPr="0065292F">
              <w:rPr>
                <w:b/>
              </w:rPr>
              <w:t>Lahve o objemu 0,75</w:t>
            </w:r>
            <w:r w:rsidR="00FB7E97">
              <w:rPr>
                <w:b/>
              </w:rPr>
              <w:t xml:space="preserve"> l</w:t>
            </w:r>
          </w:p>
        </w:tc>
      </w:tr>
      <w:tr w:rsidR="007D5178" w:rsidRPr="0065292F" w14:paraId="7C3A8CE7" w14:textId="77777777" w:rsidTr="006B73DB">
        <w:trPr>
          <w:trHeight w:val="320"/>
        </w:trPr>
        <w:tc>
          <w:tcPr>
            <w:tcW w:w="1300" w:type="dxa"/>
            <w:noWrap/>
            <w:hideMark/>
          </w:tcPr>
          <w:p w14:paraId="450C6D6C" w14:textId="77777777" w:rsidR="007D5178" w:rsidRPr="0065292F" w:rsidRDefault="007D5178" w:rsidP="006B73DB">
            <w:r w:rsidRPr="0065292F">
              <w:t>2008</w:t>
            </w:r>
          </w:p>
        </w:tc>
        <w:tc>
          <w:tcPr>
            <w:tcW w:w="2806" w:type="dxa"/>
            <w:noWrap/>
            <w:hideMark/>
          </w:tcPr>
          <w:p w14:paraId="08CEAFCA" w14:textId="77777777" w:rsidR="007D5178" w:rsidRPr="0065292F" w:rsidRDefault="007D5178" w:rsidP="006B73DB">
            <w:pPr>
              <w:jc w:val="right"/>
            </w:pPr>
            <w:r w:rsidRPr="0065292F">
              <w:t>15 404 tis.</w:t>
            </w:r>
          </w:p>
        </w:tc>
      </w:tr>
      <w:tr w:rsidR="007D5178" w:rsidRPr="0065292F" w14:paraId="451639D0" w14:textId="77777777" w:rsidTr="006B73DB">
        <w:trPr>
          <w:trHeight w:val="320"/>
        </w:trPr>
        <w:tc>
          <w:tcPr>
            <w:tcW w:w="1300" w:type="dxa"/>
            <w:noWrap/>
            <w:hideMark/>
          </w:tcPr>
          <w:p w14:paraId="6D3C86C8" w14:textId="77777777" w:rsidR="007D5178" w:rsidRPr="0065292F" w:rsidRDefault="007D5178" w:rsidP="006B73DB">
            <w:r w:rsidRPr="0065292F">
              <w:t>2009</w:t>
            </w:r>
          </w:p>
        </w:tc>
        <w:tc>
          <w:tcPr>
            <w:tcW w:w="2806" w:type="dxa"/>
            <w:noWrap/>
            <w:hideMark/>
          </w:tcPr>
          <w:p w14:paraId="460B9314" w14:textId="77777777" w:rsidR="007D5178" w:rsidRPr="0065292F" w:rsidRDefault="007D5178" w:rsidP="006B73DB">
            <w:pPr>
              <w:jc w:val="right"/>
            </w:pPr>
            <w:r w:rsidRPr="0065292F">
              <w:t>15 928 tis.</w:t>
            </w:r>
          </w:p>
        </w:tc>
      </w:tr>
      <w:tr w:rsidR="007D5178" w:rsidRPr="0065292F" w14:paraId="16E84319" w14:textId="77777777" w:rsidTr="006B73DB">
        <w:trPr>
          <w:trHeight w:val="320"/>
        </w:trPr>
        <w:tc>
          <w:tcPr>
            <w:tcW w:w="1300" w:type="dxa"/>
            <w:noWrap/>
            <w:hideMark/>
          </w:tcPr>
          <w:p w14:paraId="00B4A859" w14:textId="77777777" w:rsidR="007D5178" w:rsidRPr="0065292F" w:rsidRDefault="007D5178" w:rsidP="006B73DB">
            <w:r w:rsidRPr="0065292F">
              <w:t>2010</w:t>
            </w:r>
          </w:p>
        </w:tc>
        <w:tc>
          <w:tcPr>
            <w:tcW w:w="2806" w:type="dxa"/>
            <w:noWrap/>
            <w:hideMark/>
          </w:tcPr>
          <w:p w14:paraId="2DAB1242" w14:textId="77777777" w:rsidR="007D5178" w:rsidRPr="0065292F" w:rsidRDefault="007D5178" w:rsidP="006B73DB">
            <w:pPr>
              <w:jc w:val="right"/>
            </w:pPr>
            <w:r w:rsidRPr="0065292F">
              <w:t>15 369 tis.</w:t>
            </w:r>
          </w:p>
        </w:tc>
      </w:tr>
      <w:tr w:rsidR="007D5178" w:rsidRPr="0065292F" w14:paraId="0D85AC17" w14:textId="77777777" w:rsidTr="006B73DB">
        <w:trPr>
          <w:trHeight w:val="320"/>
        </w:trPr>
        <w:tc>
          <w:tcPr>
            <w:tcW w:w="1300" w:type="dxa"/>
            <w:noWrap/>
            <w:hideMark/>
          </w:tcPr>
          <w:p w14:paraId="6762E23F" w14:textId="77777777" w:rsidR="007D5178" w:rsidRPr="0065292F" w:rsidRDefault="007D5178" w:rsidP="006B73DB">
            <w:r w:rsidRPr="0065292F">
              <w:t>2011</w:t>
            </w:r>
          </w:p>
        </w:tc>
        <w:tc>
          <w:tcPr>
            <w:tcW w:w="2806" w:type="dxa"/>
            <w:noWrap/>
            <w:hideMark/>
          </w:tcPr>
          <w:p w14:paraId="578E6A02" w14:textId="77777777" w:rsidR="007D5178" w:rsidRPr="0065292F" w:rsidRDefault="007D5178" w:rsidP="006B73DB">
            <w:pPr>
              <w:jc w:val="right"/>
            </w:pPr>
            <w:r w:rsidRPr="0065292F">
              <w:t>14 647 tis.</w:t>
            </w:r>
          </w:p>
        </w:tc>
      </w:tr>
      <w:tr w:rsidR="007D5178" w:rsidRPr="0065292F" w14:paraId="5C0087F6" w14:textId="77777777" w:rsidTr="006B73DB">
        <w:trPr>
          <w:trHeight w:val="320"/>
        </w:trPr>
        <w:tc>
          <w:tcPr>
            <w:tcW w:w="1300" w:type="dxa"/>
            <w:noWrap/>
            <w:hideMark/>
          </w:tcPr>
          <w:p w14:paraId="5C27AE45" w14:textId="77777777" w:rsidR="007D5178" w:rsidRPr="0065292F" w:rsidRDefault="007D5178" w:rsidP="006B73DB">
            <w:r w:rsidRPr="0065292F">
              <w:t>2012</w:t>
            </w:r>
          </w:p>
        </w:tc>
        <w:tc>
          <w:tcPr>
            <w:tcW w:w="2806" w:type="dxa"/>
            <w:noWrap/>
            <w:hideMark/>
          </w:tcPr>
          <w:p w14:paraId="79556494" w14:textId="77777777" w:rsidR="007D5178" w:rsidRPr="0065292F" w:rsidRDefault="007D5178" w:rsidP="006B73DB">
            <w:pPr>
              <w:jc w:val="right"/>
            </w:pPr>
            <w:r w:rsidRPr="0065292F">
              <w:t>15 764 tis.</w:t>
            </w:r>
          </w:p>
        </w:tc>
      </w:tr>
      <w:tr w:rsidR="007D5178" w:rsidRPr="0065292F" w14:paraId="3D40FF8E" w14:textId="77777777" w:rsidTr="006B73DB">
        <w:trPr>
          <w:trHeight w:val="320"/>
        </w:trPr>
        <w:tc>
          <w:tcPr>
            <w:tcW w:w="1300" w:type="dxa"/>
            <w:noWrap/>
            <w:hideMark/>
          </w:tcPr>
          <w:p w14:paraId="1B6CCE7F" w14:textId="77777777" w:rsidR="007D5178" w:rsidRPr="0065292F" w:rsidRDefault="007D5178" w:rsidP="006B73DB">
            <w:r w:rsidRPr="0065292F">
              <w:t>2013</w:t>
            </w:r>
          </w:p>
        </w:tc>
        <w:tc>
          <w:tcPr>
            <w:tcW w:w="2806" w:type="dxa"/>
            <w:noWrap/>
            <w:hideMark/>
          </w:tcPr>
          <w:p w14:paraId="383AA7B8" w14:textId="77777777" w:rsidR="007D5178" w:rsidRPr="0065292F" w:rsidRDefault="007D5178" w:rsidP="006B73DB">
            <w:pPr>
              <w:jc w:val="right"/>
            </w:pPr>
            <w:r w:rsidRPr="0065292F">
              <w:t>14 879 tis.</w:t>
            </w:r>
          </w:p>
        </w:tc>
      </w:tr>
      <w:tr w:rsidR="007D5178" w:rsidRPr="0065292F" w14:paraId="763388BA" w14:textId="77777777" w:rsidTr="006B73DB">
        <w:trPr>
          <w:trHeight w:val="320"/>
        </w:trPr>
        <w:tc>
          <w:tcPr>
            <w:tcW w:w="1300" w:type="dxa"/>
            <w:noWrap/>
            <w:hideMark/>
          </w:tcPr>
          <w:p w14:paraId="0198CFE5" w14:textId="77777777" w:rsidR="007D5178" w:rsidRPr="0065292F" w:rsidRDefault="007D5178" w:rsidP="006B73DB">
            <w:r w:rsidRPr="0065292F">
              <w:t>2014</w:t>
            </w:r>
          </w:p>
        </w:tc>
        <w:tc>
          <w:tcPr>
            <w:tcW w:w="2806" w:type="dxa"/>
            <w:noWrap/>
            <w:hideMark/>
          </w:tcPr>
          <w:p w14:paraId="5E6C277B" w14:textId="77777777" w:rsidR="007D5178" w:rsidRPr="0065292F" w:rsidRDefault="007D5178" w:rsidP="006B73DB">
            <w:pPr>
              <w:jc w:val="right"/>
            </w:pPr>
            <w:r w:rsidRPr="0065292F">
              <w:t>15 585 tis.</w:t>
            </w:r>
          </w:p>
        </w:tc>
      </w:tr>
      <w:tr w:rsidR="007D5178" w:rsidRPr="0065292F" w14:paraId="6458DF9C" w14:textId="77777777" w:rsidTr="006B73DB">
        <w:trPr>
          <w:trHeight w:val="320"/>
        </w:trPr>
        <w:tc>
          <w:tcPr>
            <w:tcW w:w="1300" w:type="dxa"/>
            <w:noWrap/>
            <w:hideMark/>
          </w:tcPr>
          <w:p w14:paraId="32113438" w14:textId="77777777" w:rsidR="007D5178" w:rsidRPr="0065292F" w:rsidRDefault="007D5178" w:rsidP="006B73DB">
            <w:r w:rsidRPr="0065292F">
              <w:t>2015</w:t>
            </w:r>
          </w:p>
        </w:tc>
        <w:tc>
          <w:tcPr>
            <w:tcW w:w="2806" w:type="dxa"/>
            <w:noWrap/>
            <w:hideMark/>
          </w:tcPr>
          <w:p w14:paraId="590D0A81" w14:textId="77777777" w:rsidR="007D5178" w:rsidRPr="0065292F" w:rsidRDefault="007D5178" w:rsidP="006B73DB">
            <w:pPr>
              <w:jc w:val="right"/>
            </w:pPr>
            <w:r w:rsidRPr="0065292F">
              <w:t>17 169 tis.</w:t>
            </w:r>
          </w:p>
        </w:tc>
      </w:tr>
      <w:tr w:rsidR="007D5178" w:rsidRPr="0065292F" w14:paraId="33A44778" w14:textId="77777777" w:rsidTr="006B73DB">
        <w:trPr>
          <w:trHeight w:val="320"/>
        </w:trPr>
        <w:tc>
          <w:tcPr>
            <w:tcW w:w="1300" w:type="dxa"/>
            <w:noWrap/>
            <w:hideMark/>
          </w:tcPr>
          <w:p w14:paraId="40876154" w14:textId="77777777" w:rsidR="007D5178" w:rsidRPr="0065292F" w:rsidRDefault="007D5178" w:rsidP="006B73DB">
            <w:r w:rsidRPr="0065292F">
              <w:t>2016</w:t>
            </w:r>
          </w:p>
        </w:tc>
        <w:tc>
          <w:tcPr>
            <w:tcW w:w="2806" w:type="dxa"/>
            <w:noWrap/>
            <w:hideMark/>
          </w:tcPr>
          <w:p w14:paraId="24AD9E72" w14:textId="77777777" w:rsidR="007D5178" w:rsidRPr="0065292F" w:rsidRDefault="007D5178" w:rsidP="006B73DB">
            <w:pPr>
              <w:jc w:val="right"/>
            </w:pPr>
            <w:r w:rsidRPr="0065292F">
              <w:t>18 137 tis.</w:t>
            </w:r>
          </w:p>
        </w:tc>
      </w:tr>
      <w:tr w:rsidR="007D5178" w:rsidRPr="0065292F" w14:paraId="2CB70890" w14:textId="77777777" w:rsidTr="006B73DB">
        <w:trPr>
          <w:trHeight w:val="320"/>
        </w:trPr>
        <w:tc>
          <w:tcPr>
            <w:tcW w:w="1300" w:type="dxa"/>
            <w:noWrap/>
            <w:hideMark/>
          </w:tcPr>
          <w:p w14:paraId="40568815" w14:textId="77777777" w:rsidR="007D5178" w:rsidRPr="0065292F" w:rsidRDefault="007D5178" w:rsidP="006B73DB">
            <w:r w:rsidRPr="0065292F">
              <w:t>2017</w:t>
            </w:r>
          </w:p>
        </w:tc>
        <w:tc>
          <w:tcPr>
            <w:tcW w:w="2806" w:type="dxa"/>
            <w:noWrap/>
            <w:hideMark/>
          </w:tcPr>
          <w:p w14:paraId="52AF5E07" w14:textId="77777777" w:rsidR="007D5178" w:rsidRPr="0065292F" w:rsidRDefault="007D5178" w:rsidP="006B73DB">
            <w:pPr>
              <w:jc w:val="right"/>
            </w:pPr>
            <w:r w:rsidRPr="0065292F">
              <w:t>19 256 tis.</w:t>
            </w:r>
          </w:p>
        </w:tc>
      </w:tr>
      <w:tr w:rsidR="008A6B7C" w:rsidRPr="0065292F" w14:paraId="18667BE4" w14:textId="77777777" w:rsidTr="006B73DB">
        <w:trPr>
          <w:trHeight w:val="320"/>
        </w:trPr>
        <w:tc>
          <w:tcPr>
            <w:tcW w:w="1300" w:type="dxa"/>
            <w:noWrap/>
          </w:tcPr>
          <w:p w14:paraId="1DF2D267" w14:textId="4F34F3DB" w:rsidR="008A6B7C" w:rsidRPr="0065292F" w:rsidRDefault="008A6B7C" w:rsidP="006B73DB">
            <w:r>
              <w:t>2018</w:t>
            </w:r>
          </w:p>
        </w:tc>
        <w:tc>
          <w:tcPr>
            <w:tcW w:w="2806" w:type="dxa"/>
            <w:noWrap/>
          </w:tcPr>
          <w:p w14:paraId="077E6E9F" w14:textId="16698405" w:rsidR="008A6B7C" w:rsidRPr="0065292F" w:rsidRDefault="008A6B7C" w:rsidP="006B73DB">
            <w:pPr>
              <w:jc w:val="right"/>
            </w:pPr>
            <w:r>
              <w:t>22 209 tis.</w:t>
            </w:r>
          </w:p>
        </w:tc>
      </w:tr>
    </w:tbl>
    <w:p w14:paraId="04D043DF" w14:textId="77777777" w:rsidR="007D5178" w:rsidRPr="0065292F" w:rsidRDefault="007D5178" w:rsidP="007D5178"/>
    <w:p w14:paraId="44C88765" w14:textId="60B985DC" w:rsidR="007D5178" w:rsidRPr="0065292F" w:rsidRDefault="007D5178" w:rsidP="007D5178">
      <w:r w:rsidRPr="0065292F">
        <w:rPr>
          <w:i/>
        </w:rPr>
        <w:t>Zdroj: Celní správa České republiky, Statistická data z oblasti výroby, dopravy a dovozu vína a meziproduktů, 2008–201</w:t>
      </w:r>
      <w:r w:rsidR="00A405C2">
        <w:rPr>
          <w:i/>
        </w:rPr>
        <w:t>8</w:t>
      </w:r>
      <w:r w:rsidRPr="0065292F">
        <w:rPr>
          <w:i/>
        </w:rPr>
        <w:t xml:space="preserve">, </w:t>
      </w:r>
      <w:hyperlink r:id="rId13" w:history="1">
        <w:r w:rsidRPr="0065292F">
          <w:rPr>
            <w:rStyle w:val="Hypertextovodkaz"/>
            <w:i/>
          </w:rPr>
          <w:t>https://www.celnisprava.cz/cz/dane/statistiky/Stranky/vino.aspx</w:t>
        </w:r>
      </w:hyperlink>
      <w:r w:rsidRPr="0065292F">
        <w:rPr>
          <w:i/>
        </w:rPr>
        <w:t xml:space="preserve"> </w:t>
      </w:r>
    </w:p>
    <w:p w14:paraId="7C8B9092" w14:textId="77777777" w:rsidR="002B3488" w:rsidRPr="001065EC" w:rsidRDefault="002B3488" w:rsidP="001065EC">
      <w:pPr>
        <w:pBdr>
          <w:bottom w:val="single" w:sz="4" w:space="1" w:color="auto"/>
        </w:pBdr>
        <w:spacing w:line="276" w:lineRule="auto"/>
        <w:jc w:val="both"/>
        <w:rPr>
          <w:rFonts w:cs="Arial"/>
          <w:u w:val="thick"/>
        </w:rPr>
      </w:pPr>
    </w:p>
    <w:p w14:paraId="11362196" w14:textId="77777777" w:rsidR="002B3488" w:rsidRPr="0065292F" w:rsidRDefault="002B3488" w:rsidP="002B3488">
      <w:pPr>
        <w:jc w:val="center"/>
        <w:rPr>
          <w:rFonts w:cs="Arial"/>
          <w:b/>
        </w:rPr>
      </w:pPr>
      <w:r w:rsidRPr="0065292F">
        <w:rPr>
          <w:rFonts w:cs="Arial"/>
          <w:b/>
        </w:rPr>
        <w:t>Kontakt:</w:t>
      </w:r>
    </w:p>
    <w:p w14:paraId="64B3245F" w14:textId="560EDD11" w:rsidR="002B3488" w:rsidRPr="0065292F" w:rsidRDefault="002B3488" w:rsidP="002B3488">
      <w:pPr>
        <w:spacing w:after="0"/>
        <w:jc w:val="center"/>
        <w:rPr>
          <w:rFonts w:cs="Arial"/>
          <w:b/>
        </w:rPr>
      </w:pPr>
      <w:r w:rsidRPr="0065292F">
        <w:rPr>
          <w:rFonts w:cs="Arial"/>
          <w:b/>
        </w:rPr>
        <w:t xml:space="preserve">Alice </w:t>
      </w:r>
      <w:r w:rsidR="00252E7D" w:rsidRPr="0065292F">
        <w:rPr>
          <w:rFonts w:cs="Arial"/>
          <w:b/>
        </w:rPr>
        <w:t>Králová</w:t>
      </w:r>
    </w:p>
    <w:p w14:paraId="47874925" w14:textId="4AF86F1A" w:rsidR="002B3488" w:rsidRPr="0065292F" w:rsidRDefault="002B3488" w:rsidP="002B3488">
      <w:pPr>
        <w:spacing w:after="0"/>
        <w:jc w:val="center"/>
        <w:rPr>
          <w:rFonts w:cs="Arial"/>
        </w:rPr>
      </w:pPr>
      <w:r w:rsidRPr="0065292F">
        <w:rPr>
          <w:rFonts w:cs="Arial"/>
        </w:rPr>
        <w:t>Manažer</w:t>
      </w:r>
      <w:r w:rsidR="00C631FF" w:rsidRPr="0065292F">
        <w:rPr>
          <w:rFonts w:cs="Arial"/>
        </w:rPr>
        <w:t>ka</w:t>
      </w:r>
      <w:r w:rsidRPr="0065292F">
        <w:rPr>
          <w:rFonts w:cs="Arial"/>
        </w:rPr>
        <w:t xml:space="preserve"> PR, BOHEMIA SEKT</w:t>
      </w:r>
    </w:p>
    <w:p w14:paraId="2C0DFB37" w14:textId="1343B264" w:rsidR="002B3488" w:rsidRPr="0065292F" w:rsidRDefault="00FC771D" w:rsidP="002B3488">
      <w:pPr>
        <w:spacing w:after="0"/>
        <w:jc w:val="center"/>
        <w:rPr>
          <w:rFonts w:cs="Arial"/>
        </w:rPr>
      </w:pPr>
      <w:hyperlink r:id="rId14" w:history="1">
        <w:r w:rsidR="00252E7D" w:rsidRPr="0065292F">
          <w:rPr>
            <w:rStyle w:val="Hypertextovodkaz"/>
            <w:rFonts w:cs="Arial"/>
          </w:rPr>
          <w:t>alice.kralova@bohemiasekt.cz</w:t>
        </w:r>
      </w:hyperlink>
    </w:p>
    <w:p w14:paraId="2F6B409A" w14:textId="77777777" w:rsidR="002B3488" w:rsidRPr="0065292F" w:rsidRDefault="002B3488" w:rsidP="002B3488">
      <w:pPr>
        <w:spacing w:after="0"/>
        <w:jc w:val="center"/>
        <w:rPr>
          <w:rFonts w:cs="Arial"/>
        </w:rPr>
      </w:pPr>
      <w:r w:rsidRPr="0065292F">
        <w:rPr>
          <w:rFonts w:cs="Arial"/>
        </w:rPr>
        <w:t>+420 733 148 127</w:t>
      </w:r>
    </w:p>
    <w:p w14:paraId="409A22B2" w14:textId="77777777" w:rsidR="002B3488" w:rsidRPr="0065292F" w:rsidRDefault="002B3488" w:rsidP="002B3488">
      <w:pPr>
        <w:spacing w:after="0"/>
        <w:jc w:val="center"/>
        <w:rPr>
          <w:rFonts w:cs="Arial"/>
        </w:rPr>
      </w:pPr>
    </w:p>
    <w:p w14:paraId="11F92584" w14:textId="77777777" w:rsidR="006B0188" w:rsidRPr="006B5BFC" w:rsidRDefault="006B0188" w:rsidP="006B0188">
      <w:pPr>
        <w:spacing w:after="0"/>
        <w:jc w:val="center"/>
        <w:rPr>
          <w:rFonts w:cs="Arial"/>
          <w:b/>
        </w:rPr>
      </w:pPr>
      <w:r w:rsidRPr="006B5BFC">
        <w:rPr>
          <w:rFonts w:cs="Arial"/>
          <w:b/>
        </w:rPr>
        <w:t>Michaela Vrbová</w:t>
      </w:r>
    </w:p>
    <w:p w14:paraId="1E210528" w14:textId="77777777" w:rsidR="006B0188" w:rsidRPr="00155949" w:rsidRDefault="006B0188" w:rsidP="006B0188">
      <w:pPr>
        <w:spacing w:after="0"/>
        <w:jc w:val="center"/>
        <w:rPr>
          <w:rFonts w:cs="Arial"/>
        </w:rPr>
      </w:pPr>
      <w:r>
        <w:rPr>
          <w:rFonts w:cs="Arial"/>
        </w:rPr>
        <w:t xml:space="preserve">PR </w:t>
      </w:r>
      <w:proofErr w:type="spellStart"/>
      <w:r>
        <w:rPr>
          <w:rFonts w:cs="Arial"/>
        </w:rPr>
        <w:t>manager</w:t>
      </w:r>
      <w:proofErr w:type="spellEnd"/>
      <w:r>
        <w:rPr>
          <w:rFonts w:cs="Arial"/>
        </w:rPr>
        <w:t xml:space="preserve">, PEPR </w:t>
      </w:r>
      <w:proofErr w:type="spellStart"/>
      <w:r>
        <w:rPr>
          <w:rFonts w:cs="Arial"/>
        </w:rPr>
        <w:t>Consulting</w:t>
      </w:r>
      <w:proofErr w:type="spellEnd"/>
    </w:p>
    <w:p w14:paraId="73CF9EF4" w14:textId="77777777" w:rsidR="006B0188" w:rsidRPr="00155949" w:rsidRDefault="00FC771D" w:rsidP="006B0188">
      <w:pPr>
        <w:spacing w:after="0"/>
        <w:jc w:val="center"/>
        <w:rPr>
          <w:rFonts w:cs="Arial"/>
        </w:rPr>
      </w:pPr>
      <w:hyperlink r:id="rId15" w:history="1">
        <w:r w:rsidR="006B0188" w:rsidRPr="00173743">
          <w:rPr>
            <w:rStyle w:val="Hypertextovodkaz"/>
            <w:rFonts w:cs="Arial"/>
          </w:rPr>
          <w:t>vrbova@peprconsulting.cz</w:t>
        </w:r>
      </w:hyperlink>
      <w:r w:rsidR="006B0188">
        <w:rPr>
          <w:rFonts w:cs="Arial"/>
        </w:rPr>
        <w:t xml:space="preserve"> </w:t>
      </w:r>
    </w:p>
    <w:p w14:paraId="7F11E528" w14:textId="668DE970" w:rsidR="006B0188" w:rsidRPr="00155949" w:rsidRDefault="006B0188" w:rsidP="006B0188">
      <w:pPr>
        <w:spacing w:after="0"/>
        <w:jc w:val="center"/>
        <w:rPr>
          <w:rFonts w:cs="Arial"/>
        </w:rPr>
      </w:pPr>
      <w:r w:rsidRPr="00155949">
        <w:rPr>
          <w:rFonts w:cs="Arial"/>
        </w:rPr>
        <w:t>+420</w:t>
      </w:r>
      <w:r>
        <w:rPr>
          <w:rFonts w:cs="Arial"/>
        </w:rPr>
        <w:t> </w:t>
      </w:r>
      <w:r>
        <w:rPr>
          <w:rFonts w:cs="Arial"/>
          <w:shd w:val="clear" w:color="auto" w:fill="FFFFFF"/>
        </w:rPr>
        <w:t>737 755 094</w:t>
      </w:r>
    </w:p>
    <w:p w14:paraId="207DAFD4" w14:textId="77777777" w:rsidR="00E94F2A" w:rsidRPr="0065292F" w:rsidRDefault="00E94F2A"/>
    <w:sectPr w:rsidR="00E94F2A" w:rsidRPr="0065292F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0D9A47" w14:textId="77777777" w:rsidR="00971BBD" w:rsidRDefault="00971BBD" w:rsidP="002B3488">
      <w:pPr>
        <w:spacing w:after="0" w:line="240" w:lineRule="auto"/>
      </w:pPr>
      <w:r>
        <w:separator/>
      </w:r>
    </w:p>
  </w:endnote>
  <w:endnote w:type="continuationSeparator" w:id="0">
    <w:p w14:paraId="65E421D7" w14:textId="77777777" w:rsidR="00971BBD" w:rsidRDefault="00971BBD" w:rsidP="002B3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264590" w14:textId="77777777" w:rsidR="00971BBD" w:rsidRDefault="00971BBD" w:rsidP="002B3488">
      <w:pPr>
        <w:spacing w:after="0" w:line="240" w:lineRule="auto"/>
      </w:pPr>
      <w:r>
        <w:separator/>
      </w:r>
    </w:p>
  </w:footnote>
  <w:footnote w:type="continuationSeparator" w:id="0">
    <w:p w14:paraId="3BBADA4A" w14:textId="77777777" w:rsidR="00971BBD" w:rsidRDefault="00971BBD" w:rsidP="002B3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E0916" w14:textId="77777777" w:rsidR="006B73DB" w:rsidRDefault="006B73D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ED018A8" wp14:editId="204EB8E1">
          <wp:simplePos x="0" y="0"/>
          <wp:positionH relativeFrom="margin">
            <wp:align>center</wp:align>
          </wp:positionH>
          <wp:positionV relativeFrom="margin">
            <wp:posOffset>-1432560</wp:posOffset>
          </wp:positionV>
          <wp:extent cx="2436495" cy="940487"/>
          <wp:effectExtent l="0" t="0" r="1905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6495" cy="940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A4F825C" w14:textId="77777777" w:rsidR="006B73DB" w:rsidRDefault="006B73DB">
    <w:pPr>
      <w:pStyle w:val="Zhlav"/>
    </w:pPr>
  </w:p>
  <w:p w14:paraId="6748D684" w14:textId="77777777" w:rsidR="006B73DB" w:rsidRDefault="006B73DB">
    <w:pPr>
      <w:pStyle w:val="Zhlav"/>
    </w:pPr>
  </w:p>
  <w:p w14:paraId="705A70A6" w14:textId="77777777" w:rsidR="006B73DB" w:rsidRDefault="006B73DB">
    <w:pPr>
      <w:pStyle w:val="Zhlav"/>
    </w:pPr>
  </w:p>
  <w:p w14:paraId="58A08352" w14:textId="77777777" w:rsidR="006B73DB" w:rsidRDefault="006B73DB" w:rsidP="002B3488">
    <w:pPr>
      <w:pStyle w:val="Zhlav"/>
      <w:jc w:val="center"/>
      <w:rPr>
        <w:b/>
      </w:rPr>
    </w:pPr>
  </w:p>
  <w:p w14:paraId="20DAB3BD" w14:textId="77777777" w:rsidR="006B73DB" w:rsidRDefault="006B73DB" w:rsidP="002B3488">
    <w:pPr>
      <w:pStyle w:val="Zhlav"/>
      <w:jc w:val="center"/>
      <w:rPr>
        <w:b/>
      </w:rPr>
    </w:pPr>
    <w:r w:rsidRPr="002B3488">
      <w:rPr>
        <w:b/>
      </w:rPr>
      <w:t>Tisková zpráva</w:t>
    </w:r>
  </w:p>
  <w:p w14:paraId="012E1010" w14:textId="77777777" w:rsidR="006B73DB" w:rsidRPr="002B3488" w:rsidRDefault="006B73DB" w:rsidP="002B3488">
    <w:pPr>
      <w:pStyle w:val="Zhlav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488"/>
    <w:rsid w:val="000634E4"/>
    <w:rsid w:val="00071CA5"/>
    <w:rsid w:val="00091BC7"/>
    <w:rsid w:val="000A267F"/>
    <w:rsid w:val="000C2A10"/>
    <w:rsid w:val="000D1926"/>
    <w:rsid w:val="000F2715"/>
    <w:rsid w:val="001052B8"/>
    <w:rsid w:val="001065EC"/>
    <w:rsid w:val="00122D42"/>
    <w:rsid w:val="001260D4"/>
    <w:rsid w:val="0013202A"/>
    <w:rsid w:val="00147119"/>
    <w:rsid w:val="001522E4"/>
    <w:rsid w:val="00155949"/>
    <w:rsid w:val="001677C8"/>
    <w:rsid w:val="00180B6C"/>
    <w:rsid w:val="00192E8A"/>
    <w:rsid w:val="001D184C"/>
    <w:rsid w:val="001F3108"/>
    <w:rsid w:val="00231980"/>
    <w:rsid w:val="00241E91"/>
    <w:rsid w:val="00252E7D"/>
    <w:rsid w:val="00264C2E"/>
    <w:rsid w:val="00285963"/>
    <w:rsid w:val="00291650"/>
    <w:rsid w:val="00293D50"/>
    <w:rsid w:val="002B3488"/>
    <w:rsid w:val="002B6A00"/>
    <w:rsid w:val="002C0C28"/>
    <w:rsid w:val="002E1E45"/>
    <w:rsid w:val="002E3DE3"/>
    <w:rsid w:val="002F485B"/>
    <w:rsid w:val="003207E9"/>
    <w:rsid w:val="00322AF0"/>
    <w:rsid w:val="00344A05"/>
    <w:rsid w:val="0034627C"/>
    <w:rsid w:val="0036699B"/>
    <w:rsid w:val="00390FB3"/>
    <w:rsid w:val="003A4D01"/>
    <w:rsid w:val="003A5CDB"/>
    <w:rsid w:val="003D31C2"/>
    <w:rsid w:val="003E3BA5"/>
    <w:rsid w:val="00412EA4"/>
    <w:rsid w:val="00430C33"/>
    <w:rsid w:val="00434E05"/>
    <w:rsid w:val="00465843"/>
    <w:rsid w:val="004B52A7"/>
    <w:rsid w:val="004D20AF"/>
    <w:rsid w:val="004D3855"/>
    <w:rsid w:val="00525642"/>
    <w:rsid w:val="005258BE"/>
    <w:rsid w:val="00534538"/>
    <w:rsid w:val="00535BB8"/>
    <w:rsid w:val="00556B9D"/>
    <w:rsid w:val="005677CD"/>
    <w:rsid w:val="005932A9"/>
    <w:rsid w:val="00594ED0"/>
    <w:rsid w:val="005A2108"/>
    <w:rsid w:val="005B5BA1"/>
    <w:rsid w:val="005D511C"/>
    <w:rsid w:val="005E5086"/>
    <w:rsid w:val="005E782F"/>
    <w:rsid w:val="006017D8"/>
    <w:rsid w:val="0060277B"/>
    <w:rsid w:val="00626A60"/>
    <w:rsid w:val="0063650C"/>
    <w:rsid w:val="006411CA"/>
    <w:rsid w:val="0064185F"/>
    <w:rsid w:val="006455A1"/>
    <w:rsid w:val="00645D1B"/>
    <w:rsid w:val="0065292F"/>
    <w:rsid w:val="00654C4C"/>
    <w:rsid w:val="006613FA"/>
    <w:rsid w:val="00691D59"/>
    <w:rsid w:val="006B0188"/>
    <w:rsid w:val="006B73DB"/>
    <w:rsid w:val="006E0468"/>
    <w:rsid w:val="0070164C"/>
    <w:rsid w:val="00707EDC"/>
    <w:rsid w:val="00710621"/>
    <w:rsid w:val="007456ED"/>
    <w:rsid w:val="007765CA"/>
    <w:rsid w:val="007A667D"/>
    <w:rsid w:val="007C44FB"/>
    <w:rsid w:val="007D5178"/>
    <w:rsid w:val="007E1B36"/>
    <w:rsid w:val="007F2C9C"/>
    <w:rsid w:val="00814EA5"/>
    <w:rsid w:val="0082353B"/>
    <w:rsid w:val="00826EB6"/>
    <w:rsid w:val="00835D5A"/>
    <w:rsid w:val="0084265A"/>
    <w:rsid w:val="00842C1E"/>
    <w:rsid w:val="008A318F"/>
    <w:rsid w:val="008A43B9"/>
    <w:rsid w:val="008A6B7C"/>
    <w:rsid w:val="008B6569"/>
    <w:rsid w:val="008E1F0F"/>
    <w:rsid w:val="008F4914"/>
    <w:rsid w:val="00930455"/>
    <w:rsid w:val="00932E8D"/>
    <w:rsid w:val="00963C8A"/>
    <w:rsid w:val="00971BBD"/>
    <w:rsid w:val="009926EB"/>
    <w:rsid w:val="009C5C99"/>
    <w:rsid w:val="009E109C"/>
    <w:rsid w:val="00A06871"/>
    <w:rsid w:val="00A405C2"/>
    <w:rsid w:val="00A65453"/>
    <w:rsid w:val="00A74CEC"/>
    <w:rsid w:val="00A92809"/>
    <w:rsid w:val="00A97108"/>
    <w:rsid w:val="00AA2B4B"/>
    <w:rsid w:val="00AF565E"/>
    <w:rsid w:val="00B0404D"/>
    <w:rsid w:val="00B042D9"/>
    <w:rsid w:val="00B1492C"/>
    <w:rsid w:val="00B16B13"/>
    <w:rsid w:val="00B22BE5"/>
    <w:rsid w:val="00B30063"/>
    <w:rsid w:val="00B43383"/>
    <w:rsid w:val="00B47063"/>
    <w:rsid w:val="00B72355"/>
    <w:rsid w:val="00B730BB"/>
    <w:rsid w:val="00BB0A55"/>
    <w:rsid w:val="00BC2B3D"/>
    <w:rsid w:val="00BD0EE0"/>
    <w:rsid w:val="00BE6D4F"/>
    <w:rsid w:val="00C41115"/>
    <w:rsid w:val="00C525B6"/>
    <w:rsid w:val="00C631FF"/>
    <w:rsid w:val="00C70DB0"/>
    <w:rsid w:val="00C86B9B"/>
    <w:rsid w:val="00C924F4"/>
    <w:rsid w:val="00CA195C"/>
    <w:rsid w:val="00CA2F52"/>
    <w:rsid w:val="00CA4901"/>
    <w:rsid w:val="00CA6AD4"/>
    <w:rsid w:val="00D13447"/>
    <w:rsid w:val="00D15736"/>
    <w:rsid w:val="00D2266C"/>
    <w:rsid w:val="00D6369D"/>
    <w:rsid w:val="00D659E1"/>
    <w:rsid w:val="00D715B0"/>
    <w:rsid w:val="00D7732B"/>
    <w:rsid w:val="00DA11CD"/>
    <w:rsid w:val="00DA549F"/>
    <w:rsid w:val="00DC6667"/>
    <w:rsid w:val="00DD6796"/>
    <w:rsid w:val="00E21F08"/>
    <w:rsid w:val="00E261F3"/>
    <w:rsid w:val="00E3592A"/>
    <w:rsid w:val="00E5701B"/>
    <w:rsid w:val="00E7688A"/>
    <w:rsid w:val="00E86FFD"/>
    <w:rsid w:val="00E94F2A"/>
    <w:rsid w:val="00ED7316"/>
    <w:rsid w:val="00EF552E"/>
    <w:rsid w:val="00F037F1"/>
    <w:rsid w:val="00F1324B"/>
    <w:rsid w:val="00F521CC"/>
    <w:rsid w:val="00F64820"/>
    <w:rsid w:val="00F768AC"/>
    <w:rsid w:val="00FB7E97"/>
    <w:rsid w:val="00FC5685"/>
    <w:rsid w:val="00FC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F2F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34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34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3488"/>
  </w:style>
  <w:style w:type="paragraph" w:styleId="Zpat">
    <w:name w:val="footer"/>
    <w:basedOn w:val="Normln"/>
    <w:link w:val="ZpatChar"/>
    <w:uiPriority w:val="99"/>
    <w:unhideWhenUsed/>
    <w:rsid w:val="002B34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3488"/>
  </w:style>
  <w:style w:type="character" w:styleId="Hypertextovodkaz">
    <w:name w:val="Hyperlink"/>
    <w:basedOn w:val="Standardnpsmoodstavce"/>
    <w:uiPriority w:val="99"/>
    <w:unhideWhenUsed/>
    <w:rsid w:val="002B3488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52E7D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2E7D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52E7D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2E7D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2E7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2E7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2E7D"/>
    <w:rPr>
      <w:rFonts w:ascii="Times New Roman" w:hAnsi="Times New Roman" w:cs="Times New Roman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22AF0"/>
    <w:rPr>
      <w:color w:val="808080"/>
      <w:shd w:val="clear" w:color="auto" w:fill="E6E6E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92E8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92E8A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7D5178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34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34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3488"/>
  </w:style>
  <w:style w:type="paragraph" w:styleId="Zpat">
    <w:name w:val="footer"/>
    <w:basedOn w:val="Normln"/>
    <w:link w:val="ZpatChar"/>
    <w:uiPriority w:val="99"/>
    <w:unhideWhenUsed/>
    <w:rsid w:val="002B34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3488"/>
  </w:style>
  <w:style w:type="character" w:styleId="Hypertextovodkaz">
    <w:name w:val="Hyperlink"/>
    <w:basedOn w:val="Standardnpsmoodstavce"/>
    <w:uiPriority w:val="99"/>
    <w:unhideWhenUsed/>
    <w:rsid w:val="002B3488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52E7D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2E7D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52E7D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2E7D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2E7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2E7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2E7D"/>
    <w:rPr>
      <w:rFonts w:ascii="Times New Roman" w:hAnsi="Times New Roman" w:cs="Times New Roman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22AF0"/>
    <w:rPr>
      <w:color w:val="808080"/>
      <w:shd w:val="clear" w:color="auto" w:fill="E6E6E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92E8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92E8A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7D5178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elnisprava.cz/cz/dane/statistiky/Stranky/vino.asp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elnisprava.cz/cz/dane/statistiky/Stranky/vino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chart" Target="charts/chart1.xml"/><Relationship Id="rId5" Type="http://schemas.openxmlformats.org/officeDocument/2006/relationships/styles" Target="styles.xml"/><Relationship Id="rId15" Type="http://schemas.openxmlformats.org/officeDocument/2006/relationships/hyperlink" Target="mailto:vrbova@peprconsulting.cz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lice.dvorakova@bohemiasek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package" Target="../embeddings/List_aplikace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Šumivé víno uvedené do volného daňového oběhu, v tisících lahví o objemu 0,75 l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1218890680033321E-17"/>
                  <c:y val="-0.2936507936507936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9B6-40E2-9BBD-D84075D9A277}"/>
                </c:ext>
              </c:extLst>
            </c:dLbl>
            <c:dLbl>
              <c:idx val="1"/>
              <c:layout>
                <c:manualLayout>
                  <c:x val="0"/>
                  <c:y val="-0.3095238095238095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9B6-40E2-9BBD-D84075D9A277}"/>
                </c:ext>
              </c:extLst>
            </c:dLbl>
            <c:dLbl>
              <c:idx val="2"/>
              <c:layout>
                <c:manualLayout>
                  <c:x val="-8.4875562720133283E-17"/>
                  <c:y val="-0.3373015873015873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9B6-40E2-9BBD-D84075D9A277}"/>
                </c:ext>
              </c:extLst>
            </c:dLbl>
            <c:dLbl>
              <c:idx val="3"/>
              <c:layout>
                <c:manualLayout>
                  <c:x val="0"/>
                  <c:y val="-0.34920634920634919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9B6-40E2-9BBD-D84075D9A277}"/>
                </c:ext>
              </c:extLst>
            </c:dLbl>
            <c:dLbl>
              <c:idx val="4"/>
              <c:layout>
                <c:manualLayout>
                  <c:x val="0"/>
                  <c:y val="-0.37698412698412698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9B6-40E2-9BBD-D84075D9A27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List1!$A$2:$A$6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List1!$B$2:$B$6</c:f>
              <c:numCache>
                <c:formatCode>#,##0</c:formatCode>
                <c:ptCount val="5"/>
                <c:pt idx="0">
                  <c:v>15585</c:v>
                </c:pt>
                <c:pt idx="1">
                  <c:v>17169</c:v>
                </c:pt>
                <c:pt idx="2">
                  <c:v>18137</c:v>
                </c:pt>
                <c:pt idx="3">
                  <c:v>19256</c:v>
                </c:pt>
                <c:pt idx="4">
                  <c:v>22209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9B6-40E2-9BBD-D84075D9A277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30614272"/>
        <c:axId val="155225472"/>
      </c:barChart>
      <c:catAx>
        <c:axId val="130614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55225472"/>
        <c:crosses val="autoZero"/>
        <c:auto val="1"/>
        <c:lblAlgn val="ctr"/>
        <c:lblOffset val="100"/>
        <c:noMultiLvlLbl val="0"/>
      </c:catAx>
      <c:valAx>
        <c:axId val="1552254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306142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6383CF26E53B4AB7CB733947E608A0" ma:contentTypeVersion="0" ma:contentTypeDescription="Vytvoří nový dokument" ma:contentTypeScope="" ma:versionID="7acb6777dd05ce5f255185508313a0d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32E9C-AC1A-4A60-8871-48A606D4559E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1760DD4-FE5A-4F6C-BAC9-D7D1C0A37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E57698-F448-4198-8605-353606E30C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A9E093-BB98-4821-8416-C58BBB73B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2638</Characters>
  <Application>Microsoft Office Word</Application>
  <DocSecurity>0</DocSecurity>
  <Lines>21</Lines>
  <Paragraphs>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Harčaríková</dc:creator>
  <cp:keywords/>
  <dc:description/>
  <cp:lastModifiedBy>Jolana Hubáčková</cp:lastModifiedBy>
  <cp:revision>2</cp:revision>
  <cp:lastPrinted>2019-07-02T07:28:00Z</cp:lastPrinted>
  <dcterms:created xsi:type="dcterms:W3CDTF">2019-07-03T06:40:00Z</dcterms:created>
  <dcterms:modified xsi:type="dcterms:W3CDTF">2019-07-03T06:40:00Z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0x010100F26383CF26E53B4AB7CB733947E608A0</vt:lpwstr>
  </property>
</Properties>
</file>